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DA3" w:rsidRPr="00D03DA3" w:rsidRDefault="00D03DA3" w:rsidP="00D03DA3">
      <w:pPr>
        <w:pStyle w:val="NoSpacing"/>
        <w:rPr>
          <w:b/>
          <w:bCs/>
        </w:rPr>
      </w:pPr>
      <w:bookmarkStart w:id="0" w:name="_GoBack"/>
      <w:bookmarkEnd w:id="0"/>
    </w:p>
    <w:p w:rsidR="00142DDD" w:rsidRDefault="00142DDD" w:rsidP="00D03DA3">
      <w:pPr>
        <w:pStyle w:val="NoSpacing"/>
        <w:jc w:val="center"/>
        <w:rPr>
          <w:b/>
          <w:bCs/>
          <w:sz w:val="36"/>
          <w:szCs w:val="36"/>
        </w:rPr>
      </w:pPr>
    </w:p>
    <w:p w:rsidR="00142DDD" w:rsidRDefault="00142DDD" w:rsidP="00D03DA3">
      <w:pPr>
        <w:pStyle w:val="NoSpacing"/>
        <w:jc w:val="center"/>
        <w:rPr>
          <w:b/>
          <w:bCs/>
          <w:sz w:val="36"/>
          <w:szCs w:val="36"/>
        </w:rPr>
      </w:pPr>
    </w:p>
    <w:p w:rsidR="00D03DA3" w:rsidRPr="00142DDD" w:rsidRDefault="00D03DA3" w:rsidP="00D03DA3">
      <w:pPr>
        <w:pStyle w:val="NoSpacing"/>
        <w:jc w:val="center"/>
        <w:rPr>
          <w:b/>
          <w:bCs/>
          <w:sz w:val="48"/>
          <w:szCs w:val="48"/>
        </w:rPr>
      </w:pPr>
      <w:r w:rsidRPr="00142DDD">
        <w:rPr>
          <w:b/>
          <w:bCs/>
          <w:sz w:val="48"/>
          <w:szCs w:val="48"/>
        </w:rPr>
        <w:t>Collateralization of Public Deposits</w:t>
      </w:r>
    </w:p>
    <w:p w:rsidR="00142DDD" w:rsidRDefault="00142DDD" w:rsidP="00D03DA3">
      <w:pPr>
        <w:pStyle w:val="NoSpacing"/>
        <w:jc w:val="center"/>
        <w:rPr>
          <w:b/>
          <w:bCs/>
          <w:sz w:val="48"/>
          <w:szCs w:val="48"/>
        </w:rPr>
      </w:pPr>
      <w:r w:rsidRPr="00142DDD">
        <w:rPr>
          <w:b/>
          <w:bCs/>
          <w:sz w:val="48"/>
          <w:szCs w:val="48"/>
        </w:rPr>
        <w:t>In South Carolina</w:t>
      </w:r>
    </w:p>
    <w:p w:rsidR="00142DDD" w:rsidRPr="00D03DA3" w:rsidRDefault="00142DDD" w:rsidP="00D03DA3">
      <w:pPr>
        <w:pStyle w:val="NoSpacing"/>
        <w:jc w:val="center"/>
        <w:rPr>
          <w:b/>
          <w:bCs/>
          <w:sz w:val="36"/>
          <w:szCs w:val="36"/>
        </w:rPr>
      </w:pPr>
    </w:p>
    <w:p w:rsidR="00D03DA3" w:rsidRPr="00D03DA3" w:rsidRDefault="00D03DA3" w:rsidP="00D03DA3">
      <w:pPr>
        <w:pStyle w:val="NoSpacing"/>
        <w:rPr>
          <w:b/>
          <w:bCs/>
          <w:sz w:val="36"/>
          <w:szCs w:val="36"/>
        </w:rPr>
      </w:pPr>
    </w:p>
    <w:p w:rsidR="00D03DA3" w:rsidRDefault="00D03DA3" w:rsidP="00142DDD">
      <w:pPr>
        <w:pStyle w:val="NoSpacing"/>
        <w:jc w:val="center"/>
        <w:rPr>
          <w:b/>
          <w:bCs/>
        </w:rPr>
      </w:pPr>
      <w:r>
        <w:rPr>
          <w:b/>
          <w:bCs/>
          <w:noProof/>
        </w:rPr>
        <w:drawing>
          <wp:inline distT="0" distB="0" distL="0" distR="0" wp14:anchorId="3329EA21" wp14:editId="6A07C43C">
            <wp:extent cx="2981823" cy="3009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174" cy="3012274"/>
                    </a:xfrm>
                    <a:prstGeom prst="rect">
                      <a:avLst/>
                    </a:prstGeom>
                    <a:noFill/>
                    <a:ln>
                      <a:noFill/>
                    </a:ln>
                  </pic:spPr>
                </pic:pic>
              </a:graphicData>
            </a:graphic>
          </wp:inline>
        </w:drawing>
      </w:r>
    </w:p>
    <w:p w:rsidR="00D03DA3" w:rsidRDefault="00D03DA3" w:rsidP="00D03DA3">
      <w:pPr>
        <w:pStyle w:val="NoSpacing"/>
        <w:rPr>
          <w:b/>
          <w:bCs/>
        </w:rPr>
      </w:pPr>
    </w:p>
    <w:p w:rsidR="00D03DA3" w:rsidRDefault="00D03DA3" w:rsidP="00D03DA3">
      <w:pPr>
        <w:pStyle w:val="NoSpacing"/>
        <w:rPr>
          <w:b/>
          <w:bCs/>
        </w:rPr>
      </w:pPr>
    </w:p>
    <w:p w:rsidR="00142DDD" w:rsidRDefault="00142DDD" w:rsidP="00D03DA3">
      <w:pPr>
        <w:pStyle w:val="NoSpacing"/>
        <w:rPr>
          <w:b/>
          <w:bCs/>
        </w:rPr>
      </w:pPr>
    </w:p>
    <w:p w:rsidR="00142DDD" w:rsidRDefault="00142DDD" w:rsidP="00D03DA3">
      <w:pPr>
        <w:pStyle w:val="NoSpacing"/>
        <w:rPr>
          <w:b/>
          <w:bCs/>
        </w:rPr>
      </w:pPr>
    </w:p>
    <w:p w:rsidR="00D03DA3" w:rsidRPr="00D03DA3" w:rsidRDefault="00D03DA3" w:rsidP="00D03DA3">
      <w:pPr>
        <w:pStyle w:val="NoSpacing"/>
        <w:rPr>
          <w:b/>
          <w:bCs/>
        </w:rPr>
      </w:pPr>
    </w:p>
    <w:p w:rsidR="00D03DA3" w:rsidRPr="00142DDD" w:rsidRDefault="00D03DA3" w:rsidP="00142DDD">
      <w:pPr>
        <w:pStyle w:val="NoSpacing"/>
        <w:jc w:val="center"/>
        <w:rPr>
          <w:b/>
          <w:bCs/>
          <w:sz w:val="36"/>
          <w:szCs w:val="36"/>
        </w:rPr>
      </w:pPr>
      <w:r w:rsidRPr="00142DDD">
        <w:rPr>
          <w:b/>
          <w:bCs/>
          <w:sz w:val="36"/>
          <w:szCs w:val="36"/>
        </w:rPr>
        <w:t>Curtis M. Loftis, Jr., State Treasurer</w:t>
      </w:r>
    </w:p>
    <w:p w:rsidR="00142DDD" w:rsidRDefault="00142DDD" w:rsidP="00142DDD">
      <w:pPr>
        <w:pStyle w:val="NoSpacing"/>
        <w:jc w:val="center"/>
        <w:rPr>
          <w:b/>
          <w:bCs/>
          <w:sz w:val="36"/>
          <w:szCs w:val="36"/>
        </w:rPr>
      </w:pPr>
    </w:p>
    <w:p w:rsidR="00142DDD" w:rsidRDefault="00142DDD" w:rsidP="00142DDD">
      <w:pPr>
        <w:pStyle w:val="NoSpacing"/>
        <w:jc w:val="center"/>
        <w:rPr>
          <w:b/>
          <w:bCs/>
          <w:sz w:val="36"/>
          <w:szCs w:val="36"/>
        </w:rPr>
      </w:pPr>
    </w:p>
    <w:p w:rsidR="00142DDD" w:rsidRPr="00142DDD" w:rsidRDefault="00142DDD" w:rsidP="00142DDD">
      <w:pPr>
        <w:pStyle w:val="NoSpacing"/>
        <w:jc w:val="center"/>
        <w:rPr>
          <w:b/>
          <w:bCs/>
          <w:sz w:val="36"/>
          <w:szCs w:val="36"/>
        </w:rPr>
      </w:pPr>
    </w:p>
    <w:p w:rsidR="00142DDD" w:rsidRDefault="00142DDD" w:rsidP="00142DDD">
      <w:pPr>
        <w:pStyle w:val="NoSpacing"/>
        <w:jc w:val="center"/>
        <w:rPr>
          <w:b/>
          <w:bCs/>
          <w:sz w:val="36"/>
          <w:szCs w:val="36"/>
        </w:rPr>
      </w:pPr>
      <w:r>
        <w:rPr>
          <w:b/>
          <w:bCs/>
          <w:sz w:val="36"/>
          <w:szCs w:val="36"/>
        </w:rPr>
        <w:t>SC Office of the State Treasurer</w:t>
      </w:r>
    </w:p>
    <w:p w:rsidR="00142DDD" w:rsidRPr="00142DDD" w:rsidRDefault="00142DDD" w:rsidP="00142DDD">
      <w:pPr>
        <w:pStyle w:val="NoSpacing"/>
        <w:jc w:val="center"/>
        <w:rPr>
          <w:b/>
          <w:bCs/>
          <w:sz w:val="36"/>
          <w:szCs w:val="36"/>
        </w:rPr>
      </w:pPr>
      <w:r w:rsidRPr="00142DDD">
        <w:rPr>
          <w:b/>
          <w:bCs/>
          <w:sz w:val="36"/>
          <w:szCs w:val="36"/>
        </w:rPr>
        <w:t>Banking Division</w:t>
      </w:r>
    </w:p>
    <w:p w:rsidR="00142DDD" w:rsidRPr="00142DDD" w:rsidRDefault="002501AA" w:rsidP="00142DDD">
      <w:pPr>
        <w:pStyle w:val="NoSpacing"/>
        <w:jc w:val="center"/>
        <w:rPr>
          <w:b/>
          <w:bCs/>
          <w:sz w:val="36"/>
          <w:szCs w:val="36"/>
        </w:rPr>
      </w:pPr>
      <w:r>
        <w:rPr>
          <w:b/>
          <w:bCs/>
          <w:sz w:val="36"/>
          <w:szCs w:val="36"/>
        </w:rPr>
        <w:t xml:space="preserve">November </w:t>
      </w:r>
      <w:r w:rsidR="00D36C42">
        <w:rPr>
          <w:b/>
          <w:bCs/>
          <w:sz w:val="36"/>
          <w:szCs w:val="36"/>
        </w:rPr>
        <w:t>20</w:t>
      </w:r>
      <w:r w:rsidR="00142DDD" w:rsidRPr="00142DDD">
        <w:rPr>
          <w:b/>
          <w:bCs/>
          <w:sz w:val="36"/>
          <w:szCs w:val="36"/>
        </w:rPr>
        <w:t>, 201</w:t>
      </w:r>
      <w:r w:rsidR="00D57A8E">
        <w:rPr>
          <w:b/>
          <w:bCs/>
          <w:sz w:val="36"/>
          <w:szCs w:val="36"/>
        </w:rPr>
        <w:t>8</w:t>
      </w:r>
      <w:r w:rsidR="0044674C">
        <w:rPr>
          <w:b/>
          <w:bCs/>
          <w:sz w:val="36"/>
          <w:szCs w:val="36"/>
        </w:rPr>
        <w:t xml:space="preserve"> </w:t>
      </w:r>
    </w:p>
    <w:p w:rsidR="00142DDD" w:rsidRDefault="00142DDD">
      <w:pPr>
        <w:rPr>
          <w:b/>
          <w:bCs/>
          <w:sz w:val="28"/>
          <w:szCs w:val="28"/>
        </w:rPr>
      </w:pPr>
      <w:r>
        <w:rPr>
          <w:b/>
          <w:bCs/>
          <w:sz w:val="28"/>
          <w:szCs w:val="28"/>
        </w:rPr>
        <w:br w:type="page"/>
      </w:r>
    </w:p>
    <w:p w:rsidR="00F6697D" w:rsidRDefault="00F6697D" w:rsidP="00142DDD">
      <w:pPr>
        <w:pStyle w:val="NoSpacing"/>
        <w:jc w:val="both"/>
        <w:rPr>
          <w:bCs/>
        </w:rPr>
      </w:pPr>
    </w:p>
    <w:p w:rsidR="00F6697D" w:rsidRPr="00073810" w:rsidRDefault="00F6697D" w:rsidP="00142DDD">
      <w:pPr>
        <w:pStyle w:val="NoSpacing"/>
        <w:jc w:val="both"/>
        <w:rPr>
          <w:b/>
          <w:bCs/>
          <w:sz w:val="28"/>
          <w:szCs w:val="28"/>
        </w:rPr>
      </w:pPr>
      <w:r w:rsidRPr="00073810">
        <w:rPr>
          <w:b/>
          <w:bCs/>
          <w:sz w:val="28"/>
          <w:szCs w:val="28"/>
        </w:rPr>
        <w:t>Statutory Requirements</w:t>
      </w:r>
    </w:p>
    <w:p w:rsidR="00DA08AA" w:rsidRDefault="00DA08AA" w:rsidP="00142DDD">
      <w:pPr>
        <w:pStyle w:val="NoSpacing"/>
        <w:jc w:val="both"/>
        <w:rPr>
          <w:bCs/>
        </w:rPr>
      </w:pPr>
      <w:r>
        <w:rPr>
          <w:bCs/>
        </w:rPr>
        <w:t xml:space="preserve">The </w:t>
      </w:r>
      <w:r w:rsidR="00142DDD" w:rsidRPr="00142DDD">
        <w:rPr>
          <w:bCs/>
        </w:rPr>
        <w:t>S</w:t>
      </w:r>
      <w:r w:rsidR="00142DDD">
        <w:rPr>
          <w:bCs/>
        </w:rPr>
        <w:t>outh Carolina</w:t>
      </w:r>
      <w:r w:rsidR="00142DDD" w:rsidRPr="00142DDD">
        <w:rPr>
          <w:bCs/>
        </w:rPr>
        <w:t xml:space="preserve"> Code</w:t>
      </w:r>
      <w:r>
        <w:rPr>
          <w:bCs/>
        </w:rPr>
        <w:t xml:space="preserve"> of law </w:t>
      </w:r>
      <w:r w:rsidR="00142DDD" w:rsidRPr="00142DDD">
        <w:rPr>
          <w:bCs/>
        </w:rPr>
        <w:t>requires all deposits</w:t>
      </w:r>
      <w:r w:rsidR="00D57A8E">
        <w:rPr>
          <w:bCs/>
        </w:rPr>
        <w:t xml:space="preserve"> </w:t>
      </w:r>
      <w:r w:rsidR="00D3206D">
        <w:rPr>
          <w:bCs/>
        </w:rPr>
        <w:t xml:space="preserve">consisting </w:t>
      </w:r>
      <w:r w:rsidR="00D57A8E">
        <w:rPr>
          <w:bCs/>
        </w:rPr>
        <w:t>of public funds</w:t>
      </w:r>
      <w:r w:rsidR="00142DDD" w:rsidRPr="00142DDD">
        <w:rPr>
          <w:bCs/>
        </w:rPr>
        <w:t xml:space="preserve"> </w:t>
      </w:r>
      <w:r>
        <w:rPr>
          <w:bCs/>
        </w:rPr>
        <w:t>in a financial institution</w:t>
      </w:r>
      <w:r w:rsidR="00D57A8E">
        <w:rPr>
          <w:bCs/>
        </w:rPr>
        <w:t xml:space="preserve"> f</w:t>
      </w:r>
      <w:r>
        <w:rPr>
          <w:bCs/>
        </w:rPr>
        <w:t>or w</w:t>
      </w:r>
      <w:r w:rsidR="00F6697D">
        <w:rPr>
          <w:bCs/>
        </w:rPr>
        <w:t>hich</w:t>
      </w:r>
      <w:r>
        <w:rPr>
          <w:bCs/>
        </w:rPr>
        <w:t xml:space="preserve"> the</w:t>
      </w:r>
      <w:r w:rsidR="00142DDD" w:rsidRPr="00142DDD">
        <w:rPr>
          <w:bCs/>
        </w:rPr>
        <w:t xml:space="preserve"> State </w:t>
      </w:r>
      <w:r w:rsidR="00142DDD">
        <w:rPr>
          <w:bCs/>
        </w:rPr>
        <w:t>Treasu</w:t>
      </w:r>
      <w:r>
        <w:rPr>
          <w:bCs/>
        </w:rPr>
        <w:t>r</w:t>
      </w:r>
      <w:r w:rsidR="00142DDD">
        <w:rPr>
          <w:bCs/>
        </w:rPr>
        <w:t>er</w:t>
      </w:r>
      <w:r>
        <w:rPr>
          <w:bCs/>
        </w:rPr>
        <w:t xml:space="preserve"> is considered the custodian</w:t>
      </w:r>
      <w:r w:rsidR="00D57A8E">
        <w:rPr>
          <w:bCs/>
        </w:rPr>
        <w:t>,</w:t>
      </w:r>
      <w:r>
        <w:rPr>
          <w:bCs/>
        </w:rPr>
        <w:t xml:space="preserve"> to be adequately secured. Additionally</w:t>
      </w:r>
      <w:r w:rsidR="0012220A">
        <w:rPr>
          <w:bCs/>
        </w:rPr>
        <w:t>,</w:t>
      </w:r>
      <w:r>
        <w:rPr>
          <w:bCs/>
        </w:rPr>
        <w:t xml:space="preserve"> all deposits</w:t>
      </w:r>
      <w:r w:rsidR="00D3206D">
        <w:rPr>
          <w:bCs/>
        </w:rPr>
        <w:t xml:space="preserve"> consisting of public funds</w:t>
      </w:r>
      <w:r>
        <w:rPr>
          <w:bCs/>
        </w:rPr>
        <w:t xml:space="preserve"> belonging to </w:t>
      </w:r>
      <w:r w:rsidR="00142DDD" w:rsidRPr="00142DDD">
        <w:rPr>
          <w:bCs/>
        </w:rPr>
        <w:t xml:space="preserve">a </w:t>
      </w:r>
      <w:r w:rsidR="00353F57">
        <w:rPr>
          <w:bCs/>
        </w:rPr>
        <w:t>“</w:t>
      </w:r>
      <w:r w:rsidR="00142DDD" w:rsidRPr="00142DDD">
        <w:rPr>
          <w:bCs/>
        </w:rPr>
        <w:t xml:space="preserve">local </w:t>
      </w:r>
      <w:r w:rsidR="00353F57">
        <w:rPr>
          <w:bCs/>
        </w:rPr>
        <w:t>entity”</w:t>
      </w:r>
      <w:r w:rsidR="00D3206D">
        <w:rPr>
          <w:bCs/>
        </w:rPr>
        <w:t xml:space="preserve"> </w:t>
      </w:r>
      <w:r>
        <w:rPr>
          <w:bCs/>
        </w:rPr>
        <w:t>are to be secured</w:t>
      </w:r>
      <w:r w:rsidR="00D3206D">
        <w:rPr>
          <w:bCs/>
        </w:rPr>
        <w:t>.</w:t>
      </w:r>
      <w:r w:rsidR="00D3206D" w:rsidRPr="00D3206D">
        <w:rPr>
          <w:bCs/>
        </w:rPr>
        <w:t xml:space="preserve"> </w:t>
      </w:r>
      <w:r w:rsidR="00D3206D">
        <w:rPr>
          <w:bCs/>
        </w:rPr>
        <w:t>Financial institutions are referred to as “qualified public depositories.”</w:t>
      </w:r>
    </w:p>
    <w:p w:rsidR="00DA08AA" w:rsidRPr="00142DDD" w:rsidRDefault="00DA08AA" w:rsidP="00DA08AA">
      <w:pPr>
        <w:pStyle w:val="NoSpacing"/>
        <w:numPr>
          <w:ilvl w:val="0"/>
          <w:numId w:val="6"/>
        </w:numPr>
        <w:jc w:val="both"/>
        <w:rPr>
          <w:bCs/>
        </w:rPr>
      </w:pPr>
      <w:r w:rsidRPr="00142DDD">
        <w:rPr>
          <w:bCs/>
        </w:rPr>
        <w:t>Section 11-13-</w:t>
      </w:r>
      <w:r w:rsidR="00571766" w:rsidRPr="00142DDD">
        <w:rPr>
          <w:bCs/>
        </w:rPr>
        <w:t>60</w:t>
      </w:r>
      <w:r w:rsidR="00571766">
        <w:rPr>
          <w:bCs/>
        </w:rPr>
        <w:t xml:space="preserve"> -</w:t>
      </w:r>
      <w:r w:rsidR="00D3206D">
        <w:rPr>
          <w:bCs/>
        </w:rPr>
        <w:t xml:space="preserve"> Public funds for which the State Treasurer is custodian</w:t>
      </w:r>
    </w:p>
    <w:p w:rsidR="00DA08AA" w:rsidRPr="00142DDD" w:rsidRDefault="00DA08AA" w:rsidP="00DA08AA">
      <w:pPr>
        <w:pStyle w:val="NoSpacing"/>
        <w:numPr>
          <w:ilvl w:val="0"/>
          <w:numId w:val="6"/>
        </w:numPr>
        <w:jc w:val="both"/>
        <w:rPr>
          <w:bCs/>
        </w:rPr>
      </w:pPr>
      <w:r w:rsidRPr="00142DDD">
        <w:rPr>
          <w:bCs/>
        </w:rPr>
        <w:t xml:space="preserve">Section </w:t>
      </w:r>
      <w:r w:rsidR="000A6BCB">
        <w:rPr>
          <w:bCs/>
        </w:rPr>
        <w:t>6-5</w:t>
      </w:r>
      <w:r w:rsidRPr="00142DDD">
        <w:rPr>
          <w:bCs/>
        </w:rPr>
        <w:t xml:space="preserve">-15 </w:t>
      </w:r>
      <w:r w:rsidR="00D3206D">
        <w:rPr>
          <w:bCs/>
        </w:rPr>
        <w:tab/>
        <w:t xml:space="preserve">   - Public funds belonging to a </w:t>
      </w:r>
      <w:r w:rsidR="00571766">
        <w:rPr>
          <w:bCs/>
        </w:rPr>
        <w:t>local</w:t>
      </w:r>
      <w:r w:rsidR="00CA2EA4">
        <w:rPr>
          <w:bCs/>
        </w:rPr>
        <w:t xml:space="preserve"> </w:t>
      </w:r>
      <w:r w:rsidR="00571766">
        <w:rPr>
          <w:bCs/>
        </w:rPr>
        <w:t>governmental</w:t>
      </w:r>
      <w:r w:rsidR="00D3206D">
        <w:rPr>
          <w:bCs/>
        </w:rPr>
        <w:t xml:space="preserve"> entity</w:t>
      </w:r>
    </w:p>
    <w:p w:rsidR="00DA08AA" w:rsidRPr="00142DDD" w:rsidRDefault="00DA08AA" w:rsidP="00DA08AA">
      <w:pPr>
        <w:pStyle w:val="NoSpacing"/>
        <w:numPr>
          <w:ilvl w:val="0"/>
          <w:numId w:val="6"/>
        </w:numPr>
        <w:jc w:val="both"/>
        <w:rPr>
          <w:bCs/>
        </w:rPr>
      </w:pPr>
      <w:r w:rsidRPr="00142DDD">
        <w:rPr>
          <w:bCs/>
        </w:rPr>
        <w:t>Section 11-1-50</w:t>
      </w:r>
      <w:r w:rsidR="00D3206D">
        <w:rPr>
          <w:bCs/>
        </w:rPr>
        <w:tab/>
        <w:t xml:space="preserve">   - Public and trust funds for which the State Treasurer is not custodian</w:t>
      </w:r>
      <w:r w:rsidR="00D3206D">
        <w:rPr>
          <w:bCs/>
        </w:rPr>
        <w:tab/>
      </w:r>
    </w:p>
    <w:p w:rsidR="00353F57" w:rsidRDefault="00353F57" w:rsidP="00353F57">
      <w:pPr>
        <w:pStyle w:val="NoSpacing"/>
        <w:rPr>
          <w:b/>
          <w:bCs/>
          <w:sz w:val="28"/>
          <w:szCs w:val="28"/>
        </w:rPr>
      </w:pPr>
    </w:p>
    <w:p w:rsidR="00353F57" w:rsidRPr="00353F57" w:rsidRDefault="00353F57" w:rsidP="00353F57">
      <w:pPr>
        <w:pStyle w:val="NoSpacing"/>
        <w:rPr>
          <w:b/>
          <w:bCs/>
          <w:sz w:val="28"/>
          <w:szCs w:val="28"/>
        </w:rPr>
      </w:pPr>
      <w:r>
        <w:rPr>
          <w:b/>
          <w:bCs/>
          <w:sz w:val="28"/>
          <w:szCs w:val="28"/>
        </w:rPr>
        <w:t>Federal Deposit Insurance</w:t>
      </w:r>
    </w:p>
    <w:p w:rsidR="006A6BAA" w:rsidRDefault="00DA08AA" w:rsidP="00DA08AA">
      <w:pPr>
        <w:pStyle w:val="NoSpacing"/>
        <w:jc w:val="both"/>
        <w:rPr>
          <w:bCs/>
        </w:rPr>
      </w:pPr>
      <w:r>
        <w:rPr>
          <w:bCs/>
        </w:rPr>
        <w:t xml:space="preserve">The first level of surety is insurance provided by the Federal Deposit Insurance Corporation (FDIC) under the provisions that apply to “Accounts Held by Government Depositors.”  </w:t>
      </w:r>
      <w:r w:rsidRPr="00DA08AA">
        <w:rPr>
          <w:bCs/>
        </w:rPr>
        <w:t>Section 330.15 of the FDIC's regulations (12 C.F.R. 330.15) governs the insurance coverage of public unit accounts.</w:t>
      </w:r>
    </w:p>
    <w:p w:rsidR="006A6BAA" w:rsidRDefault="006A6BAA" w:rsidP="00DA08AA">
      <w:pPr>
        <w:pStyle w:val="NoSpacing"/>
        <w:jc w:val="both"/>
        <w:rPr>
          <w:bCs/>
        </w:rPr>
      </w:pPr>
    </w:p>
    <w:p w:rsidR="00DA08AA" w:rsidRDefault="00DA08AA" w:rsidP="00DA08AA">
      <w:pPr>
        <w:pStyle w:val="NoSpacing"/>
        <w:jc w:val="both"/>
        <w:rPr>
          <w:bCs/>
        </w:rPr>
      </w:pPr>
      <w:r w:rsidRPr="00DA08AA">
        <w:rPr>
          <w:bCs/>
        </w:rPr>
        <w:t xml:space="preserve">For deposit insurance purposes, the term "public unit" includes a state, county, municipality, or any political subdivision of the public unit. Under </w:t>
      </w:r>
      <w:r w:rsidR="00F0343F">
        <w:rPr>
          <w:bCs/>
        </w:rPr>
        <w:t>Se</w:t>
      </w:r>
      <w:r w:rsidRPr="00DA08AA">
        <w:rPr>
          <w:bCs/>
        </w:rPr>
        <w:t>ction 330.15, the "official custodian"</w:t>
      </w:r>
      <w:r w:rsidR="00F0343F" w:rsidRPr="00F0343F">
        <w:rPr>
          <w:bCs/>
        </w:rPr>
        <w:t xml:space="preserve"> </w:t>
      </w:r>
      <w:r w:rsidR="00F0343F" w:rsidRPr="00DA08AA">
        <w:rPr>
          <w:bCs/>
        </w:rPr>
        <w:t xml:space="preserve">is </w:t>
      </w:r>
      <w:r w:rsidR="00F0343F">
        <w:rPr>
          <w:bCs/>
        </w:rPr>
        <w:t>afforded the insurance coverage, not the</w:t>
      </w:r>
      <w:r w:rsidRPr="00DA08AA">
        <w:rPr>
          <w:bCs/>
        </w:rPr>
        <w:t xml:space="preserve"> public unit.</w:t>
      </w:r>
      <w:r w:rsidR="00353F57">
        <w:rPr>
          <w:bCs/>
        </w:rPr>
        <w:t xml:space="preserve"> </w:t>
      </w:r>
      <w:r w:rsidR="003B1314">
        <w:rPr>
          <w:bCs/>
        </w:rPr>
        <w:t xml:space="preserve">(Note: </w:t>
      </w:r>
      <w:r w:rsidR="008D4676">
        <w:rPr>
          <w:bCs/>
        </w:rPr>
        <w:t>T</w:t>
      </w:r>
      <w:r w:rsidR="003B1314">
        <w:rPr>
          <w:bCs/>
        </w:rPr>
        <w:t xml:space="preserve">he definition of a “public unit” only applies to FDIC insurance coverage, not to what </w:t>
      </w:r>
      <w:r w:rsidR="008D4676">
        <w:rPr>
          <w:bCs/>
        </w:rPr>
        <w:t xml:space="preserve">types of </w:t>
      </w:r>
      <w:r w:rsidR="003B1314">
        <w:rPr>
          <w:bCs/>
        </w:rPr>
        <w:t>entities are authorized by the SC Code to be collateralized.)</w:t>
      </w:r>
    </w:p>
    <w:p w:rsidR="00B346EF" w:rsidRDefault="00B346EF" w:rsidP="00DA08AA">
      <w:pPr>
        <w:pStyle w:val="NoSpacing"/>
        <w:jc w:val="both"/>
        <w:rPr>
          <w:bCs/>
        </w:rPr>
      </w:pPr>
    </w:p>
    <w:p w:rsidR="00B346EF" w:rsidRPr="00B346EF" w:rsidRDefault="00B346EF" w:rsidP="00B346EF">
      <w:pPr>
        <w:pStyle w:val="NoSpacing"/>
        <w:jc w:val="both"/>
        <w:rPr>
          <w:bCs/>
        </w:rPr>
      </w:pPr>
      <w:r w:rsidRPr="00B346EF">
        <w:rPr>
          <w:bCs/>
        </w:rPr>
        <w:t xml:space="preserve">An </w:t>
      </w:r>
      <w:r w:rsidR="006A6BAA">
        <w:rPr>
          <w:bCs/>
        </w:rPr>
        <w:t>“</w:t>
      </w:r>
      <w:r w:rsidRPr="00B346EF">
        <w:rPr>
          <w:bCs/>
        </w:rPr>
        <w:t>official custodian</w:t>
      </w:r>
      <w:r w:rsidR="006A6BAA">
        <w:rPr>
          <w:bCs/>
        </w:rPr>
        <w:t>”</w:t>
      </w:r>
      <w:r w:rsidRPr="00B346EF">
        <w:rPr>
          <w:bCs/>
        </w:rPr>
        <w:t xml:space="preserve"> is an officer, employee, or agent of a public unit having official custody of public funds and lawfully depositing the funds in an insured institution. In order to qualify as an official custodian, a person must have plenary authority - including control - over the funds. Control of public funds includes possession as well as the authority to establish accounts in insured depository institutions and to make deposits, withdrawals and disbursements.</w:t>
      </w:r>
    </w:p>
    <w:p w:rsidR="00B346EF" w:rsidRPr="00B346EF" w:rsidRDefault="00B346EF" w:rsidP="00B346EF">
      <w:pPr>
        <w:pStyle w:val="NoSpacing"/>
        <w:jc w:val="both"/>
        <w:rPr>
          <w:bCs/>
        </w:rPr>
      </w:pPr>
    </w:p>
    <w:p w:rsidR="00B346EF" w:rsidRPr="00B346EF" w:rsidRDefault="00B346EF" w:rsidP="00B346EF">
      <w:pPr>
        <w:pStyle w:val="NoSpacing"/>
        <w:jc w:val="both"/>
        <w:rPr>
          <w:bCs/>
        </w:rPr>
      </w:pPr>
      <w:r w:rsidRPr="00B346EF">
        <w:rPr>
          <w:bCs/>
        </w:rPr>
        <w:t>Deposit insurance coverage cannot be increased by dividing funds among several putative official custodians who lack plenary authority over such funds. Likewise, coverage cannot be increased by dividing funds among several accounts controlled by the same official custodian for the same public unit.</w:t>
      </w:r>
    </w:p>
    <w:p w:rsidR="00DA08AA" w:rsidRDefault="00DA08AA" w:rsidP="00142DDD">
      <w:pPr>
        <w:pStyle w:val="NoSpacing"/>
        <w:jc w:val="both"/>
        <w:rPr>
          <w:bCs/>
        </w:rPr>
      </w:pPr>
    </w:p>
    <w:p w:rsidR="00142DDD" w:rsidRPr="00142DDD" w:rsidRDefault="00F6697D" w:rsidP="00142DDD">
      <w:pPr>
        <w:pStyle w:val="NoSpacing"/>
        <w:jc w:val="both"/>
        <w:rPr>
          <w:bCs/>
        </w:rPr>
      </w:pPr>
      <w:r>
        <w:rPr>
          <w:bCs/>
        </w:rPr>
        <w:t>For a public unit’s custodian</w:t>
      </w:r>
      <w:r w:rsidR="00F0343F">
        <w:rPr>
          <w:bCs/>
        </w:rPr>
        <w:t xml:space="preserve"> (</w:t>
      </w:r>
      <w:r w:rsidR="008D4676">
        <w:rPr>
          <w:bCs/>
        </w:rPr>
        <w:t xml:space="preserve">e.g., </w:t>
      </w:r>
      <w:r w:rsidR="00F0343F">
        <w:rPr>
          <w:bCs/>
        </w:rPr>
        <w:t>State Treasurer</w:t>
      </w:r>
      <w:r w:rsidR="00372362">
        <w:rPr>
          <w:bCs/>
        </w:rPr>
        <w:t>,</w:t>
      </w:r>
      <w:r w:rsidR="00F0343F">
        <w:rPr>
          <w:bCs/>
        </w:rPr>
        <w:t xml:space="preserve"> local </w:t>
      </w:r>
      <w:r w:rsidR="008D4676">
        <w:rPr>
          <w:bCs/>
        </w:rPr>
        <w:t>entity’s</w:t>
      </w:r>
      <w:r w:rsidR="00F0343F">
        <w:rPr>
          <w:bCs/>
        </w:rPr>
        <w:t xml:space="preserve"> finance officer</w:t>
      </w:r>
      <w:r w:rsidR="00372362">
        <w:rPr>
          <w:bCs/>
        </w:rPr>
        <w:t>, or board of a qualified political subdivision</w:t>
      </w:r>
      <w:r w:rsidR="00F0343F">
        <w:rPr>
          <w:bCs/>
        </w:rPr>
        <w:t>)</w:t>
      </w:r>
      <w:r>
        <w:rPr>
          <w:bCs/>
        </w:rPr>
        <w:t xml:space="preserve">, the </w:t>
      </w:r>
      <w:r w:rsidR="00142DDD" w:rsidRPr="00142DDD">
        <w:rPr>
          <w:bCs/>
        </w:rPr>
        <w:t xml:space="preserve">FDIC insures demand deposits </w:t>
      </w:r>
      <w:r>
        <w:rPr>
          <w:bCs/>
        </w:rPr>
        <w:t xml:space="preserve">for to </w:t>
      </w:r>
      <w:r w:rsidR="00142DDD" w:rsidRPr="00142DDD">
        <w:rPr>
          <w:bCs/>
        </w:rPr>
        <w:t>up to $250,000</w:t>
      </w:r>
      <w:r w:rsidR="008732C4">
        <w:rPr>
          <w:bCs/>
        </w:rPr>
        <w:t>,</w:t>
      </w:r>
      <w:r w:rsidR="00142DDD" w:rsidRPr="00142DDD">
        <w:rPr>
          <w:bCs/>
        </w:rPr>
        <w:t xml:space="preserve"> and time deposits up to a separate $250,000.</w:t>
      </w:r>
      <w:r w:rsidR="00F0343F">
        <w:rPr>
          <w:bCs/>
        </w:rPr>
        <w:t xml:space="preserve"> It is therefore possible for a </w:t>
      </w:r>
      <w:r w:rsidR="008D4676">
        <w:rPr>
          <w:bCs/>
        </w:rPr>
        <w:t xml:space="preserve">public unit’s </w:t>
      </w:r>
      <w:r w:rsidR="00F0343F">
        <w:rPr>
          <w:bCs/>
        </w:rPr>
        <w:t xml:space="preserve">custodian to be afforded a </w:t>
      </w:r>
      <w:r w:rsidR="008262E8">
        <w:rPr>
          <w:bCs/>
        </w:rPr>
        <w:t xml:space="preserve">combined </w:t>
      </w:r>
      <w:r w:rsidR="00F0343F">
        <w:rPr>
          <w:bCs/>
        </w:rPr>
        <w:t>total of $500,000.</w:t>
      </w:r>
    </w:p>
    <w:p w:rsidR="00142DDD" w:rsidRPr="00142DDD" w:rsidRDefault="00142DDD" w:rsidP="00142DDD">
      <w:pPr>
        <w:pStyle w:val="NoSpacing"/>
        <w:jc w:val="both"/>
        <w:rPr>
          <w:bCs/>
        </w:rPr>
      </w:pPr>
    </w:p>
    <w:p w:rsidR="00D0591A" w:rsidRDefault="00D0591A" w:rsidP="00142DDD">
      <w:pPr>
        <w:pStyle w:val="NoSpacing"/>
        <w:jc w:val="both"/>
        <w:rPr>
          <w:b/>
          <w:bCs/>
          <w:sz w:val="28"/>
          <w:szCs w:val="28"/>
        </w:rPr>
      </w:pPr>
    </w:p>
    <w:p w:rsidR="002C45C5" w:rsidRPr="002C45C5" w:rsidRDefault="002C45C5" w:rsidP="00142DDD">
      <w:pPr>
        <w:pStyle w:val="NoSpacing"/>
        <w:jc w:val="both"/>
        <w:rPr>
          <w:b/>
          <w:bCs/>
          <w:sz w:val="28"/>
          <w:szCs w:val="28"/>
        </w:rPr>
      </w:pPr>
      <w:r w:rsidRPr="002C45C5">
        <w:rPr>
          <w:b/>
          <w:bCs/>
          <w:sz w:val="28"/>
          <w:szCs w:val="28"/>
        </w:rPr>
        <w:t>Methods of Surety</w:t>
      </w:r>
    </w:p>
    <w:p w:rsidR="00142DDD" w:rsidRPr="00142DDD" w:rsidRDefault="00142DDD" w:rsidP="00142DDD">
      <w:pPr>
        <w:pStyle w:val="NoSpacing"/>
        <w:jc w:val="both"/>
        <w:rPr>
          <w:bCs/>
        </w:rPr>
      </w:pPr>
      <w:r w:rsidRPr="00142DDD">
        <w:rPr>
          <w:bCs/>
        </w:rPr>
        <w:t>Any deposit</w:t>
      </w:r>
      <w:r w:rsidR="00BE7037">
        <w:rPr>
          <w:bCs/>
        </w:rPr>
        <w:t xml:space="preserve"> amount</w:t>
      </w:r>
      <w:r w:rsidRPr="00142DDD">
        <w:rPr>
          <w:bCs/>
        </w:rPr>
        <w:t xml:space="preserve">s above the FDIC insurance coverage are to be </w:t>
      </w:r>
      <w:r w:rsidR="008262E8">
        <w:rPr>
          <w:bCs/>
        </w:rPr>
        <w:t>secured</w:t>
      </w:r>
      <w:r w:rsidRPr="00142DDD">
        <w:rPr>
          <w:bCs/>
        </w:rPr>
        <w:t>, with</w:t>
      </w:r>
      <w:r w:rsidR="006A6BAA">
        <w:rPr>
          <w:bCs/>
        </w:rPr>
        <w:t xml:space="preserve"> either</w:t>
      </w:r>
      <w:r w:rsidRPr="00142DDD">
        <w:rPr>
          <w:bCs/>
        </w:rPr>
        <w:t>:</w:t>
      </w:r>
    </w:p>
    <w:p w:rsidR="00142DDD" w:rsidRPr="00142DDD" w:rsidRDefault="00142DDD" w:rsidP="00142DDD">
      <w:pPr>
        <w:pStyle w:val="NoSpacing"/>
        <w:numPr>
          <w:ilvl w:val="0"/>
          <w:numId w:val="3"/>
        </w:numPr>
        <w:jc w:val="both"/>
        <w:rPr>
          <w:bCs/>
        </w:rPr>
      </w:pPr>
      <w:r w:rsidRPr="00142DDD">
        <w:rPr>
          <w:bCs/>
        </w:rPr>
        <w:t xml:space="preserve">Surety Bonds (Issued by </w:t>
      </w:r>
      <w:r w:rsidR="00F6697D">
        <w:rPr>
          <w:bCs/>
        </w:rPr>
        <w:t>an i</w:t>
      </w:r>
      <w:r w:rsidRPr="00142DDD">
        <w:rPr>
          <w:bCs/>
        </w:rPr>
        <w:t>nsurance company)</w:t>
      </w:r>
      <w:r w:rsidR="0024764D">
        <w:rPr>
          <w:bCs/>
        </w:rPr>
        <w:t xml:space="preserve"> (Not typically used)</w:t>
      </w:r>
    </w:p>
    <w:p w:rsidR="00142DDD" w:rsidRPr="00142DDD" w:rsidRDefault="00142DDD" w:rsidP="00142DDD">
      <w:pPr>
        <w:pStyle w:val="NoSpacing"/>
        <w:numPr>
          <w:ilvl w:val="0"/>
          <w:numId w:val="3"/>
        </w:numPr>
        <w:jc w:val="both"/>
        <w:rPr>
          <w:bCs/>
        </w:rPr>
      </w:pPr>
      <w:r w:rsidRPr="00142DDD">
        <w:rPr>
          <w:bCs/>
        </w:rPr>
        <w:t xml:space="preserve">Letters of Credit (Issued by </w:t>
      </w:r>
      <w:r w:rsidR="00F6697D">
        <w:rPr>
          <w:bCs/>
        </w:rPr>
        <w:t xml:space="preserve">the </w:t>
      </w:r>
      <w:r w:rsidRPr="00142DDD">
        <w:rPr>
          <w:bCs/>
        </w:rPr>
        <w:t>Federal Home Loan Bank)</w:t>
      </w:r>
    </w:p>
    <w:p w:rsidR="00142DDD" w:rsidRPr="00142DDD" w:rsidRDefault="00694738" w:rsidP="00142DDD">
      <w:pPr>
        <w:pStyle w:val="NoSpacing"/>
        <w:numPr>
          <w:ilvl w:val="0"/>
          <w:numId w:val="3"/>
        </w:numPr>
        <w:jc w:val="both"/>
        <w:rPr>
          <w:bCs/>
        </w:rPr>
      </w:pPr>
      <w:r>
        <w:rPr>
          <w:bCs/>
        </w:rPr>
        <w:t>Pledged Collateral Securities</w:t>
      </w:r>
      <w:r w:rsidR="00142DDD" w:rsidRPr="00142DDD">
        <w:rPr>
          <w:bCs/>
        </w:rPr>
        <w:t xml:space="preserve"> </w:t>
      </w:r>
      <w:r w:rsidR="008262E8">
        <w:rPr>
          <w:bCs/>
        </w:rPr>
        <w:t>(</w:t>
      </w:r>
      <w:r w:rsidR="00142DDD" w:rsidRPr="00142DDD">
        <w:rPr>
          <w:bCs/>
        </w:rPr>
        <w:t xml:space="preserve">Held by </w:t>
      </w:r>
      <w:r w:rsidR="008262E8">
        <w:rPr>
          <w:bCs/>
        </w:rPr>
        <w:t xml:space="preserve">a </w:t>
      </w:r>
      <w:r w:rsidR="00142DDD" w:rsidRPr="00142DDD">
        <w:rPr>
          <w:bCs/>
        </w:rPr>
        <w:t>custody agent)</w:t>
      </w:r>
    </w:p>
    <w:p w:rsidR="00142DDD" w:rsidRPr="00142DDD" w:rsidRDefault="00142DDD" w:rsidP="00142DDD">
      <w:pPr>
        <w:pStyle w:val="NoSpacing"/>
        <w:jc w:val="both"/>
        <w:rPr>
          <w:bCs/>
        </w:rPr>
      </w:pPr>
    </w:p>
    <w:p w:rsidR="00057B04" w:rsidRDefault="00057B04" w:rsidP="00142DDD">
      <w:pPr>
        <w:pStyle w:val="NoSpacing"/>
        <w:jc w:val="both"/>
        <w:rPr>
          <w:bCs/>
        </w:rPr>
      </w:pPr>
    </w:p>
    <w:p w:rsidR="00057B04" w:rsidRDefault="00057B04" w:rsidP="00142DDD">
      <w:pPr>
        <w:pStyle w:val="NoSpacing"/>
        <w:jc w:val="both"/>
        <w:rPr>
          <w:bCs/>
        </w:rPr>
      </w:pPr>
    </w:p>
    <w:p w:rsidR="00987433" w:rsidRDefault="008262E8" w:rsidP="00142DDD">
      <w:pPr>
        <w:pStyle w:val="NoSpacing"/>
        <w:jc w:val="both"/>
        <w:rPr>
          <w:bCs/>
        </w:rPr>
      </w:pPr>
      <w:r>
        <w:rPr>
          <w:bCs/>
        </w:rPr>
        <w:t xml:space="preserve">This publication outlines the process for </w:t>
      </w:r>
      <w:r w:rsidR="00694738">
        <w:rPr>
          <w:bCs/>
        </w:rPr>
        <w:t>pledging collateral securities</w:t>
      </w:r>
      <w:r>
        <w:rPr>
          <w:bCs/>
        </w:rPr>
        <w:t xml:space="preserve"> to the State Treasurer</w:t>
      </w:r>
      <w:r w:rsidR="00784C2B">
        <w:rPr>
          <w:bCs/>
        </w:rPr>
        <w:t xml:space="preserve"> as pledgee</w:t>
      </w:r>
      <w:r>
        <w:rPr>
          <w:bCs/>
        </w:rPr>
        <w:t>.</w:t>
      </w:r>
    </w:p>
    <w:p w:rsidR="00CA2EA4" w:rsidRDefault="00CA2EA4" w:rsidP="001B069A">
      <w:pPr>
        <w:pStyle w:val="NoSpacing"/>
        <w:jc w:val="both"/>
        <w:rPr>
          <w:b/>
          <w:bCs/>
          <w:sz w:val="28"/>
          <w:szCs w:val="28"/>
        </w:rPr>
      </w:pPr>
    </w:p>
    <w:p w:rsidR="001B069A" w:rsidRPr="00073810" w:rsidRDefault="001B069A" w:rsidP="001B069A">
      <w:pPr>
        <w:pStyle w:val="NoSpacing"/>
        <w:jc w:val="both"/>
        <w:rPr>
          <w:b/>
          <w:bCs/>
          <w:sz w:val="28"/>
          <w:szCs w:val="28"/>
        </w:rPr>
      </w:pPr>
      <w:r w:rsidRPr="00073810">
        <w:rPr>
          <w:b/>
          <w:bCs/>
          <w:sz w:val="28"/>
          <w:szCs w:val="28"/>
        </w:rPr>
        <w:lastRenderedPageBreak/>
        <w:t>Methods of Collateralization</w:t>
      </w:r>
    </w:p>
    <w:p w:rsidR="001B069A" w:rsidRPr="001B069A" w:rsidRDefault="001B069A" w:rsidP="001B069A">
      <w:pPr>
        <w:pStyle w:val="NoSpacing"/>
        <w:jc w:val="both"/>
        <w:rPr>
          <w:bCs/>
          <w:u w:val="single"/>
        </w:rPr>
      </w:pPr>
      <w:r w:rsidRPr="001B069A">
        <w:rPr>
          <w:bCs/>
          <w:u w:val="single"/>
        </w:rPr>
        <w:t xml:space="preserve">Local Governments – Secured under Section </w:t>
      </w:r>
      <w:r w:rsidR="000A6BCB">
        <w:rPr>
          <w:bCs/>
          <w:u w:val="single"/>
        </w:rPr>
        <w:t>6-5</w:t>
      </w:r>
      <w:r w:rsidRPr="001B069A">
        <w:rPr>
          <w:bCs/>
          <w:u w:val="single"/>
        </w:rPr>
        <w:t>-15</w:t>
      </w:r>
    </w:p>
    <w:p w:rsidR="001B069A" w:rsidRPr="00142DDD" w:rsidRDefault="001B069A" w:rsidP="001B069A">
      <w:pPr>
        <w:pStyle w:val="NoSpacing"/>
        <w:jc w:val="both"/>
        <w:rPr>
          <w:bCs/>
        </w:rPr>
      </w:pPr>
      <w:r w:rsidRPr="00142DDD">
        <w:rPr>
          <w:bCs/>
        </w:rPr>
        <w:t xml:space="preserve">There are two methods of collateralization available to </w:t>
      </w:r>
      <w:r>
        <w:rPr>
          <w:bCs/>
        </w:rPr>
        <w:t>a</w:t>
      </w:r>
      <w:r w:rsidRPr="00142DDD">
        <w:rPr>
          <w:bCs/>
        </w:rPr>
        <w:t xml:space="preserve"> </w:t>
      </w:r>
      <w:r>
        <w:rPr>
          <w:bCs/>
        </w:rPr>
        <w:t>depository bank for local entities:</w:t>
      </w:r>
    </w:p>
    <w:p w:rsidR="001B069A" w:rsidRPr="00142DDD" w:rsidRDefault="001B069A" w:rsidP="001B069A">
      <w:pPr>
        <w:pStyle w:val="NoSpacing"/>
        <w:numPr>
          <w:ilvl w:val="0"/>
          <w:numId w:val="1"/>
        </w:numPr>
        <w:jc w:val="both"/>
        <w:rPr>
          <w:bCs/>
        </w:rPr>
      </w:pPr>
      <w:r w:rsidRPr="00142DDD">
        <w:rPr>
          <w:bCs/>
          <w:u w:val="single"/>
        </w:rPr>
        <w:t>Dedicated Method</w:t>
      </w:r>
      <w:r w:rsidRPr="00142DDD">
        <w:rPr>
          <w:bCs/>
        </w:rPr>
        <w:t xml:space="preserve"> – Securities</w:t>
      </w:r>
      <w:r>
        <w:rPr>
          <w:bCs/>
        </w:rPr>
        <w:t xml:space="preserve"> are</w:t>
      </w:r>
      <w:r w:rsidRPr="00142DDD">
        <w:rPr>
          <w:bCs/>
        </w:rPr>
        <w:t xml:space="preserve"> pledged by the </w:t>
      </w:r>
      <w:r>
        <w:rPr>
          <w:bCs/>
        </w:rPr>
        <w:t>depository bank</w:t>
      </w:r>
      <w:r w:rsidRPr="00142DDD">
        <w:rPr>
          <w:bCs/>
        </w:rPr>
        <w:t xml:space="preserve"> </w:t>
      </w:r>
      <w:r>
        <w:rPr>
          <w:bCs/>
        </w:rPr>
        <w:t xml:space="preserve">(pledgor) </w:t>
      </w:r>
      <w:r w:rsidRPr="00142DDD">
        <w:rPr>
          <w:bCs/>
        </w:rPr>
        <w:t>to a specific custodian</w:t>
      </w:r>
      <w:r>
        <w:rPr>
          <w:bCs/>
        </w:rPr>
        <w:t xml:space="preserve"> (pledgee)</w:t>
      </w:r>
      <w:r w:rsidRPr="00142DDD">
        <w:rPr>
          <w:bCs/>
        </w:rPr>
        <w:t xml:space="preserve"> to secure the </w:t>
      </w:r>
      <w:r w:rsidR="006A6BAA">
        <w:rPr>
          <w:bCs/>
        </w:rPr>
        <w:t xml:space="preserve">uninsured </w:t>
      </w:r>
      <w:r w:rsidRPr="00142DDD">
        <w:rPr>
          <w:bCs/>
        </w:rPr>
        <w:t xml:space="preserve">deposits of that one particular </w:t>
      </w:r>
      <w:r>
        <w:rPr>
          <w:bCs/>
        </w:rPr>
        <w:t>local entity</w:t>
      </w:r>
      <w:r w:rsidRPr="00142DDD">
        <w:rPr>
          <w:bCs/>
        </w:rPr>
        <w:t>.</w:t>
      </w:r>
    </w:p>
    <w:p w:rsidR="001B069A" w:rsidRPr="00142DDD" w:rsidRDefault="001B069A" w:rsidP="001B069A">
      <w:pPr>
        <w:pStyle w:val="NoSpacing"/>
        <w:jc w:val="both"/>
        <w:rPr>
          <w:bCs/>
        </w:rPr>
      </w:pPr>
    </w:p>
    <w:p w:rsidR="001B069A" w:rsidRPr="00142DDD" w:rsidRDefault="001B069A" w:rsidP="001B069A">
      <w:pPr>
        <w:pStyle w:val="NoSpacing"/>
        <w:numPr>
          <w:ilvl w:val="0"/>
          <w:numId w:val="1"/>
        </w:numPr>
        <w:jc w:val="both"/>
        <w:rPr>
          <w:bCs/>
        </w:rPr>
      </w:pPr>
      <w:r w:rsidRPr="00142DDD">
        <w:rPr>
          <w:bCs/>
          <w:u w:val="single"/>
        </w:rPr>
        <w:t>Pooling Method</w:t>
      </w:r>
      <w:r w:rsidRPr="00142DDD">
        <w:rPr>
          <w:bCs/>
        </w:rPr>
        <w:t xml:space="preserve"> – Securities </w:t>
      </w:r>
      <w:r>
        <w:rPr>
          <w:bCs/>
        </w:rPr>
        <w:t xml:space="preserve">are </w:t>
      </w:r>
      <w:r w:rsidRPr="00142DDD">
        <w:rPr>
          <w:bCs/>
        </w:rPr>
        <w:t xml:space="preserve">pledged by the </w:t>
      </w:r>
      <w:r>
        <w:rPr>
          <w:bCs/>
        </w:rPr>
        <w:t>depository bank</w:t>
      </w:r>
      <w:r w:rsidRPr="00142DDD">
        <w:rPr>
          <w:bCs/>
        </w:rPr>
        <w:t xml:space="preserve"> </w:t>
      </w:r>
      <w:r>
        <w:rPr>
          <w:bCs/>
        </w:rPr>
        <w:t xml:space="preserve">(pledgor) </w:t>
      </w:r>
      <w:r w:rsidRPr="00142DDD">
        <w:rPr>
          <w:bCs/>
        </w:rPr>
        <w:t>to the State Treasurer</w:t>
      </w:r>
      <w:r>
        <w:rPr>
          <w:bCs/>
        </w:rPr>
        <w:t xml:space="preserve"> (pledgee)</w:t>
      </w:r>
      <w:r w:rsidRPr="00142DDD">
        <w:rPr>
          <w:bCs/>
        </w:rPr>
        <w:t xml:space="preserve"> to secure the </w:t>
      </w:r>
      <w:r w:rsidR="006A6BAA">
        <w:rPr>
          <w:bCs/>
        </w:rPr>
        <w:t xml:space="preserve">uninsured </w:t>
      </w:r>
      <w:r w:rsidRPr="00142DDD">
        <w:rPr>
          <w:bCs/>
        </w:rPr>
        <w:t xml:space="preserve">deposits of all </w:t>
      </w:r>
      <w:r>
        <w:rPr>
          <w:bCs/>
        </w:rPr>
        <w:t xml:space="preserve">enrolled </w:t>
      </w:r>
      <w:r w:rsidRPr="00142DDD">
        <w:rPr>
          <w:bCs/>
        </w:rPr>
        <w:t xml:space="preserve">local </w:t>
      </w:r>
      <w:r>
        <w:rPr>
          <w:bCs/>
        </w:rPr>
        <w:t>entities</w:t>
      </w:r>
      <w:r w:rsidRPr="00142DDD">
        <w:rPr>
          <w:bCs/>
        </w:rPr>
        <w:t xml:space="preserve"> that may have funds on deposit with the </w:t>
      </w:r>
      <w:r>
        <w:rPr>
          <w:bCs/>
        </w:rPr>
        <w:t>institution</w:t>
      </w:r>
      <w:r w:rsidRPr="00142DDD">
        <w:rPr>
          <w:bCs/>
        </w:rPr>
        <w:t>.</w:t>
      </w:r>
    </w:p>
    <w:p w:rsidR="001B069A" w:rsidRPr="00142DDD" w:rsidRDefault="001B069A" w:rsidP="001B069A">
      <w:pPr>
        <w:pStyle w:val="NoSpacing"/>
        <w:jc w:val="both"/>
        <w:rPr>
          <w:bCs/>
        </w:rPr>
      </w:pPr>
    </w:p>
    <w:p w:rsidR="001B069A" w:rsidRDefault="008732C4" w:rsidP="001B069A">
      <w:pPr>
        <w:pStyle w:val="NoSpacing"/>
        <w:jc w:val="both"/>
        <w:rPr>
          <w:bCs/>
        </w:rPr>
      </w:pPr>
      <w:r>
        <w:rPr>
          <w:bCs/>
        </w:rPr>
        <w:t>For a particular local entity, t</w:t>
      </w:r>
      <w:r w:rsidR="001B069A" w:rsidRPr="00142DDD">
        <w:rPr>
          <w:bCs/>
        </w:rPr>
        <w:t xml:space="preserve">he depository bank may use </w:t>
      </w:r>
      <w:r>
        <w:rPr>
          <w:bCs/>
        </w:rPr>
        <w:t xml:space="preserve">either </w:t>
      </w:r>
      <w:r w:rsidR="001B069A" w:rsidRPr="00142DDD">
        <w:rPr>
          <w:bCs/>
        </w:rPr>
        <w:t xml:space="preserve">the Dedicated Method </w:t>
      </w:r>
      <w:r>
        <w:rPr>
          <w:bCs/>
        </w:rPr>
        <w:t>or</w:t>
      </w:r>
      <w:r w:rsidR="001B069A">
        <w:rPr>
          <w:bCs/>
        </w:rPr>
        <w:t xml:space="preserve"> </w:t>
      </w:r>
      <w:r w:rsidR="001B069A" w:rsidRPr="00142DDD">
        <w:rPr>
          <w:bCs/>
        </w:rPr>
        <w:t>the Pooling Method.</w:t>
      </w:r>
      <w:r w:rsidR="001B069A">
        <w:rPr>
          <w:bCs/>
        </w:rPr>
        <w:t xml:space="preserve">  </w:t>
      </w:r>
      <w:r>
        <w:rPr>
          <w:bCs/>
        </w:rPr>
        <w:t xml:space="preserve">However, the bank may only use the Pooling Method if the local entity agrees to that method. </w:t>
      </w:r>
      <w:r w:rsidR="001B069A">
        <w:rPr>
          <w:bCs/>
        </w:rPr>
        <w:t xml:space="preserve">It is possible for a depository bank to use the Pooling Method for </w:t>
      </w:r>
      <w:r w:rsidR="00890A07">
        <w:rPr>
          <w:bCs/>
        </w:rPr>
        <w:t xml:space="preserve">the </w:t>
      </w:r>
      <w:r w:rsidR="001B069A">
        <w:rPr>
          <w:bCs/>
        </w:rPr>
        <w:t xml:space="preserve">local entities </w:t>
      </w:r>
      <w:r>
        <w:rPr>
          <w:bCs/>
        </w:rPr>
        <w:t xml:space="preserve">that have so agreed, </w:t>
      </w:r>
      <w:r w:rsidR="001B069A">
        <w:rPr>
          <w:bCs/>
        </w:rPr>
        <w:t xml:space="preserve">and the Dedicated Method for those </w:t>
      </w:r>
      <w:r w:rsidR="00890A07">
        <w:rPr>
          <w:bCs/>
        </w:rPr>
        <w:t>that have not</w:t>
      </w:r>
      <w:r w:rsidR="001B069A">
        <w:rPr>
          <w:bCs/>
        </w:rPr>
        <w:t>.</w:t>
      </w:r>
    </w:p>
    <w:p w:rsidR="001B069A" w:rsidRDefault="001B069A" w:rsidP="001B069A">
      <w:pPr>
        <w:pStyle w:val="NoSpacing"/>
        <w:jc w:val="both"/>
        <w:rPr>
          <w:bCs/>
        </w:rPr>
      </w:pPr>
    </w:p>
    <w:p w:rsidR="001B069A" w:rsidRDefault="001B069A" w:rsidP="001B069A">
      <w:pPr>
        <w:pStyle w:val="NoSpacing"/>
        <w:jc w:val="both"/>
        <w:rPr>
          <w:bCs/>
        </w:rPr>
      </w:pPr>
      <w:r>
        <w:rPr>
          <w:bCs/>
        </w:rPr>
        <w:t xml:space="preserve">The depository bank using the Dedicated Method </w:t>
      </w:r>
      <w:r w:rsidR="00890A07">
        <w:rPr>
          <w:bCs/>
        </w:rPr>
        <w:t xml:space="preserve">for a local entity’s deposits </w:t>
      </w:r>
      <w:r>
        <w:rPr>
          <w:bCs/>
        </w:rPr>
        <w:t>should execute an appropriate Tri-party Agreement or Pledged Collateral Agreement directly with the local entity</w:t>
      </w:r>
      <w:r w:rsidR="00483117">
        <w:rPr>
          <w:bCs/>
        </w:rPr>
        <w:t>, with terms being agreed to by the entity’s legal staff</w:t>
      </w:r>
      <w:r>
        <w:rPr>
          <w:bCs/>
        </w:rPr>
        <w:t>.</w:t>
      </w:r>
      <w:r w:rsidR="00890A07">
        <w:rPr>
          <w:bCs/>
        </w:rPr>
        <w:t xml:space="preserve"> The State Treasurer is not a party to such agreements.</w:t>
      </w:r>
    </w:p>
    <w:p w:rsidR="001B069A" w:rsidRDefault="001B069A" w:rsidP="001B069A">
      <w:pPr>
        <w:pStyle w:val="NoSpacing"/>
        <w:jc w:val="both"/>
        <w:rPr>
          <w:bCs/>
        </w:rPr>
      </w:pPr>
    </w:p>
    <w:p w:rsidR="00E77DD3" w:rsidRPr="001B069A" w:rsidRDefault="00E77DD3" w:rsidP="00E77DD3">
      <w:pPr>
        <w:pStyle w:val="NoSpacing"/>
        <w:jc w:val="both"/>
        <w:rPr>
          <w:bCs/>
          <w:u w:val="single"/>
        </w:rPr>
      </w:pPr>
      <w:r>
        <w:rPr>
          <w:bCs/>
          <w:u w:val="single"/>
        </w:rPr>
        <w:t>State Treasurer as Custodian</w:t>
      </w:r>
      <w:r w:rsidRPr="001B069A">
        <w:rPr>
          <w:bCs/>
          <w:u w:val="single"/>
        </w:rPr>
        <w:t xml:space="preserve"> – Secured under Section </w:t>
      </w:r>
      <w:r>
        <w:rPr>
          <w:bCs/>
          <w:u w:val="single"/>
        </w:rPr>
        <w:t>11-13-60</w:t>
      </w:r>
    </w:p>
    <w:p w:rsidR="001B069A" w:rsidRDefault="001B069A" w:rsidP="00E77DD3">
      <w:pPr>
        <w:pStyle w:val="NoSpacing"/>
        <w:jc w:val="both"/>
        <w:rPr>
          <w:bCs/>
        </w:rPr>
      </w:pPr>
      <w:r>
        <w:rPr>
          <w:bCs/>
        </w:rPr>
        <w:t>For deposits</w:t>
      </w:r>
      <w:r w:rsidR="00E77DD3">
        <w:rPr>
          <w:bCs/>
        </w:rPr>
        <w:t xml:space="preserve"> for which </w:t>
      </w:r>
      <w:r>
        <w:rPr>
          <w:bCs/>
        </w:rPr>
        <w:t>the State Treasurer</w:t>
      </w:r>
      <w:r w:rsidR="00E77DD3">
        <w:rPr>
          <w:bCs/>
        </w:rPr>
        <w:t xml:space="preserve"> is custodian</w:t>
      </w:r>
      <w:r>
        <w:rPr>
          <w:bCs/>
        </w:rPr>
        <w:t>, t</w:t>
      </w:r>
      <w:r w:rsidRPr="00142DDD">
        <w:rPr>
          <w:bCs/>
        </w:rPr>
        <w:t>he depository bank m</w:t>
      </w:r>
      <w:r>
        <w:rPr>
          <w:bCs/>
        </w:rPr>
        <w:t>ay</w:t>
      </w:r>
      <w:r w:rsidRPr="00142DDD">
        <w:rPr>
          <w:bCs/>
        </w:rPr>
        <w:t xml:space="preserve"> only use the Dedicated Method</w:t>
      </w:r>
      <w:r w:rsidR="00E77DD3">
        <w:rPr>
          <w:bCs/>
        </w:rPr>
        <w:t>. T</w:t>
      </w:r>
      <w:r>
        <w:rPr>
          <w:bCs/>
        </w:rPr>
        <w:t xml:space="preserve">he collateral </w:t>
      </w:r>
      <w:r w:rsidRPr="00142DDD">
        <w:rPr>
          <w:bCs/>
        </w:rPr>
        <w:t>securities</w:t>
      </w:r>
      <w:r>
        <w:rPr>
          <w:bCs/>
        </w:rPr>
        <w:t xml:space="preserve"> </w:t>
      </w:r>
      <w:r w:rsidR="006A6BAA">
        <w:rPr>
          <w:bCs/>
        </w:rPr>
        <w:t>are</w:t>
      </w:r>
      <w:r w:rsidR="00E77DD3">
        <w:rPr>
          <w:bCs/>
        </w:rPr>
        <w:t xml:space="preserve"> pledged to the State Treasurer as pledgee.</w:t>
      </w:r>
    </w:p>
    <w:p w:rsidR="001B069A" w:rsidRDefault="001B069A" w:rsidP="00E77DD3">
      <w:pPr>
        <w:pStyle w:val="NoSpacing"/>
        <w:jc w:val="both"/>
        <w:rPr>
          <w:bCs/>
        </w:rPr>
      </w:pPr>
    </w:p>
    <w:p w:rsidR="00E77DD3" w:rsidRPr="00E77DD3" w:rsidRDefault="00E77DD3" w:rsidP="00E77DD3">
      <w:pPr>
        <w:pStyle w:val="NoSpacing"/>
        <w:jc w:val="both"/>
        <w:rPr>
          <w:bCs/>
          <w:u w:val="single"/>
        </w:rPr>
      </w:pPr>
      <w:r>
        <w:rPr>
          <w:bCs/>
          <w:u w:val="single"/>
        </w:rPr>
        <w:t>Other Public and Trust Funds</w:t>
      </w:r>
      <w:r w:rsidRPr="00E77DD3">
        <w:rPr>
          <w:bCs/>
          <w:u w:val="single"/>
        </w:rPr>
        <w:t xml:space="preserve"> </w:t>
      </w:r>
      <w:r w:rsidR="00580EFB">
        <w:rPr>
          <w:bCs/>
          <w:u w:val="single"/>
        </w:rPr>
        <w:t xml:space="preserve">of a State related Entity </w:t>
      </w:r>
      <w:r w:rsidRPr="00E77DD3">
        <w:rPr>
          <w:bCs/>
          <w:u w:val="single"/>
        </w:rPr>
        <w:t>– Secured under Section 11-1-</w:t>
      </w:r>
      <w:r>
        <w:rPr>
          <w:bCs/>
          <w:u w:val="single"/>
        </w:rPr>
        <w:t>5</w:t>
      </w:r>
      <w:r w:rsidRPr="00E77DD3">
        <w:rPr>
          <w:bCs/>
          <w:u w:val="single"/>
        </w:rPr>
        <w:t>0</w:t>
      </w:r>
    </w:p>
    <w:p w:rsidR="00E77DD3" w:rsidRDefault="00E77DD3" w:rsidP="00E77DD3">
      <w:pPr>
        <w:pStyle w:val="NoSpacing"/>
        <w:jc w:val="both"/>
        <w:rPr>
          <w:bCs/>
        </w:rPr>
      </w:pPr>
      <w:r>
        <w:rPr>
          <w:bCs/>
        </w:rPr>
        <w:t>F</w:t>
      </w:r>
      <w:r w:rsidRPr="00E77DD3">
        <w:rPr>
          <w:bCs/>
        </w:rPr>
        <w:t xml:space="preserve">or any </w:t>
      </w:r>
      <w:r>
        <w:rPr>
          <w:bCs/>
        </w:rPr>
        <w:t xml:space="preserve">deposits consisting of </w:t>
      </w:r>
      <w:r w:rsidRPr="00E77DD3">
        <w:rPr>
          <w:bCs/>
        </w:rPr>
        <w:t xml:space="preserve">public </w:t>
      </w:r>
      <w:r>
        <w:rPr>
          <w:bCs/>
        </w:rPr>
        <w:t xml:space="preserve">or trust </w:t>
      </w:r>
      <w:r w:rsidRPr="00E77DD3">
        <w:rPr>
          <w:bCs/>
        </w:rPr>
        <w:t xml:space="preserve">funds </w:t>
      </w:r>
      <w:r w:rsidR="00580EFB">
        <w:rPr>
          <w:bCs/>
        </w:rPr>
        <w:t xml:space="preserve">of a state related entity </w:t>
      </w:r>
      <w:r w:rsidRPr="00E77DD3">
        <w:rPr>
          <w:bCs/>
        </w:rPr>
        <w:t xml:space="preserve">for which the State Treasurer is </w:t>
      </w:r>
      <w:r w:rsidRPr="00E77DD3">
        <w:rPr>
          <w:bCs/>
          <w:u w:val="single"/>
        </w:rPr>
        <w:t>not</w:t>
      </w:r>
      <w:r w:rsidRPr="00E77DD3">
        <w:rPr>
          <w:bCs/>
        </w:rPr>
        <w:t xml:space="preserve"> the official custodian</w:t>
      </w:r>
      <w:r>
        <w:rPr>
          <w:bCs/>
        </w:rPr>
        <w:t xml:space="preserve">, the depository bank may only use the Dedicated Method. </w:t>
      </w:r>
      <w:r w:rsidR="007D33AA">
        <w:rPr>
          <w:bCs/>
        </w:rPr>
        <w:t>Collateralization and identification of the funds</w:t>
      </w:r>
      <w:r w:rsidR="006A6BAA">
        <w:rPr>
          <w:bCs/>
        </w:rPr>
        <w:t>’</w:t>
      </w:r>
      <w:r w:rsidR="007D33AA">
        <w:rPr>
          <w:bCs/>
        </w:rPr>
        <w:t xml:space="preserve"> custodian is </w:t>
      </w:r>
      <w:r w:rsidR="007D33AA" w:rsidRPr="00E77DD3">
        <w:rPr>
          <w:bCs/>
        </w:rPr>
        <w:t>subject to the entity’s enabling Code of Law</w:t>
      </w:r>
      <w:r w:rsidR="007D33AA">
        <w:rPr>
          <w:bCs/>
        </w:rPr>
        <w:t xml:space="preserve">. </w:t>
      </w:r>
    </w:p>
    <w:p w:rsidR="00E77DD3" w:rsidRPr="00E77DD3" w:rsidRDefault="00E77DD3" w:rsidP="00E77DD3">
      <w:pPr>
        <w:pStyle w:val="NoSpacing"/>
        <w:jc w:val="both"/>
        <w:rPr>
          <w:bCs/>
        </w:rPr>
      </w:pPr>
    </w:p>
    <w:p w:rsidR="00E77DD3" w:rsidRPr="00E77DD3" w:rsidRDefault="00E77DD3" w:rsidP="007D33AA">
      <w:pPr>
        <w:pStyle w:val="NoSpacing"/>
        <w:jc w:val="both"/>
        <w:rPr>
          <w:bCs/>
          <w:i/>
          <w:lang w:val="en"/>
        </w:rPr>
      </w:pPr>
      <w:r w:rsidRPr="00E77DD3">
        <w:rPr>
          <w:bCs/>
        </w:rPr>
        <w:t xml:space="preserve">For FDIC insurance purposes, any public </w:t>
      </w:r>
      <w:r w:rsidR="00890A07">
        <w:rPr>
          <w:bCs/>
        </w:rPr>
        <w:t xml:space="preserve">or trust </w:t>
      </w:r>
      <w:r w:rsidRPr="00E77DD3">
        <w:rPr>
          <w:bCs/>
        </w:rPr>
        <w:t xml:space="preserve">funds for which the State Treasurer is </w:t>
      </w:r>
      <w:r w:rsidRPr="00E77DD3">
        <w:rPr>
          <w:bCs/>
          <w:u w:val="single"/>
        </w:rPr>
        <w:t>not</w:t>
      </w:r>
      <w:r w:rsidRPr="00E77DD3">
        <w:rPr>
          <w:bCs/>
        </w:rPr>
        <w:t xml:space="preserve"> the official custodian, </w:t>
      </w:r>
      <w:r w:rsidR="007D33AA">
        <w:rPr>
          <w:bCs/>
        </w:rPr>
        <w:t>a</w:t>
      </w:r>
      <w:r w:rsidRPr="00E77DD3">
        <w:rPr>
          <w:bCs/>
        </w:rPr>
        <w:t xml:space="preserve"> state entity would be considered a “public unit,” as it is a “political subdivision” of the State of South Carolina, as defined by the FDIC regulations.  The custodian of those funds </w:t>
      </w:r>
      <w:r w:rsidR="00580EFB">
        <w:rPr>
          <w:bCs/>
        </w:rPr>
        <w:t xml:space="preserve">and its chosen depository bank </w:t>
      </w:r>
      <w:r w:rsidRPr="00E77DD3">
        <w:rPr>
          <w:bCs/>
        </w:rPr>
        <w:t xml:space="preserve">assume the responsibility for ensuring that authority exists for collateralization, and that proper arrangements and agreements are in place to provide a security interest in any securities that may be pledged.  </w:t>
      </w:r>
    </w:p>
    <w:p w:rsidR="00E77DD3" w:rsidRDefault="00E77DD3" w:rsidP="001B069A">
      <w:pPr>
        <w:pStyle w:val="NoSpacing"/>
        <w:jc w:val="both"/>
        <w:rPr>
          <w:bCs/>
        </w:rPr>
      </w:pPr>
    </w:p>
    <w:p w:rsidR="00987433" w:rsidRPr="00073810" w:rsidRDefault="00987433" w:rsidP="00142DDD">
      <w:pPr>
        <w:pStyle w:val="NoSpacing"/>
        <w:jc w:val="both"/>
        <w:rPr>
          <w:b/>
          <w:bCs/>
          <w:sz w:val="28"/>
          <w:szCs w:val="28"/>
        </w:rPr>
      </w:pPr>
      <w:r w:rsidRPr="00073810">
        <w:rPr>
          <w:b/>
          <w:bCs/>
          <w:sz w:val="28"/>
          <w:szCs w:val="28"/>
        </w:rPr>
        <w:t>Collateral Agreements</w:t>
      </w:r>
    </w:p>
    <w:p w:rsidR="00987433" w:rsidRPr="00987433" w:rsidRDefault="000F5A9B" w:rsidP="000E7C15">
      <w:pPr>
        <w:pStyle w:val="NoSpacing"/>
        <w:tabs>
          <w:tab w:val="left" w:pos="2610"/>
        </w:tabs>
        <w:jc w:val="both"/>
        <w:rPr>
          <w:bCs/>
        </w:rPr>
      </w:pPr>
      <w:r>
        <w:rPr>
          <w:bCs/>
        </w:rPr>
        <w:t xml:space="preserve">The </w:t>
      </w:r>
      <w:r w:rsidR="00987433" w:rsidRPr="00987433">
        <w:rPr>
          <w:bCs/>
        </w:rPr>
        <w:t>Federal Deposit Insurance Corporation’s (FDIC</w:t>
      </w:r>
      <w:r w:rsidR="00372362">
        <w:rPr>
          <w:bCs/>
        </w:rPr>
        <w:t>’s</w:t>
      </w:r>
      <w:r w:rsidR="00987433" w:rsidRPr="00987433">
        <w:rPr>
          <w:bCs/>
        </w:rPr>
        <w:t>)</w:t>
      </w:r>
      <w:r w:rsidRPr="000F5A9B">
        <w:rPr>
          <w:bCs/>
        </w:rPr>
        <w:t xml:space="preserve"> </w:t>
      </w:r>
      <w:r>
        <w:rPr>
          <w:bCs/>
        </w:rPr>
        <w:t>policies, including the “</w:t>
      </w:r>
      <w:r w:rsidRPr="000F5A9B">
        <w:rPr>
          <w:bCs/>
        </w:rPr>
        <w:t>Statement of Policy on Qualified Financial Contracts</w:t>
      </w:r>
      <w:r w:rsidR="00372362">
        <w:rPr>
          <w:bCs/>
        </w:rPr>
        <w:t>,</w:t>
      </w:r>
      <w:r>
        <w:rPr>
          <w:bCs/>
        </w:rPr>
        <w:t>”</w:t>
      </w:r>
      <w:r w:rsidRPr="000F5A9B">
        <w:rPr>
          <w:bCs/>
        </w:rPr>
        <w:t xml:space="preserve"> </w:t>
      </w:r>
      <w:r w:rsidR="00987433" w:rsidRPr="00987433">
        <w:rPr>
          <w:bCs/>
        </w:rPr>
        <w:t>specif</w:t>
      </w:r>
      <w:r w:rsidR="00372362">
        <w:rPr>
          <w:bCs/>
        </w:rPr>
        <w:t>y</w:t>
      </w:r>
      <w:r w:rsidR="00987433" w:rsidRPr="00987433">
        <w:rPr>
          <w:bCs/>
        </w:rPr>
        <w:t xml:space="preserve"> the requirements for creation of an enforceable security interest in any pledged collateral securities. Th</w:t>
      </w:r>
      <w:r w:rsidR="00372362">
        <w:rPr>
          <w:bCs/>
        </w:rPr>
        <w:t>ese</w:t>
      </w:r>
      <w:r w:rsidR="00987433" w:rsidRPr="00987433">
        <w:rPr>
          <w:bCs/>
        </w:rPr>
        <w:t xml:space="preserve"> statement</w:t>
      </w:r>
      <w:r w:rsidR="00372362">
        <w:rPr>
          <w:bCs/>
        </w:rPr>
        <w:t>s</w:t>
      </w:r>
      <w:r w:rsidR="00987433" w:rsidRPr="00987433">
        <w:rPr>
          <w:bCs/>
        </w:rPr>
        <w:t xml:space="preserve"> clarif</w:t>
      </w:r>
      <w:r w:rsidR="00372362">
        <w:rPr>
          <w:bCs/>
        </w:rPr>
        <w:t>y</w:t>
      </w:r>
      <w:r w:rsidR="00987433" w:rsidRPr="00987433">
        <w:rPr>
          <w:bCs/>
        </w:rPr>
        <w:t xml:space="preserve"> the FDIC’s polic</w:t>
      </w:r>
      <w:r w:rsidR="00372362">
        <w:rPr>
          <w:bCs/>
        </w:rPr>
        <w:t>ies</w:t>
      </w:r>
      <w:r w:rsidR="00987433" w:rsidRPr="00987433">
        <w:rPr>
          <w:bCs/>
        </w:rPr>
        <w:t xml:space="preserve"> on enforcing the requirements of Section 11(e) of the Federal Deposit Insurance Act, as amended by the Financial Institutions Reform, Recovery, and Enforcement Act of 1989 (FIRREA). </w:t>
      </w:r>
      <w:r w:rsidR="00987433">
        <w:rPr>
          <w:bCs/>
        </w:rPr>
        <w:t xml:space="preserve"> </w:t>
      </w:r>
      <w:r w:rsidR="00372362">
        <w:rPr>
          <w:bCs/>
        </w:rPr>
        <w:t>Consequently, c</w:t>
      </w:r>
      <w:r w:rsidR="00987433">
        <w:rPr>
          <w:bCs/>
        </w:rPr>
        <w:t xml:space="preserve">ollateral Agreements </w:t>
      </w:r>
      <w:r w:rsidR="00F051EB">
        <w:rPr>
          <w:bCs/>
        </w:rPr>
        <w:t xml:space="preserve">are required to be executed in order to comply with the </w:t>
      </w:r>
      <w:r>
        <w:rPr>
          <w:bCs/>
        </w:rPr>
        <w:t xml:space="preserve">various </w:t>
      </w:r>
      <w:r w:rsidR="00F051EB">
        <w:rPr>
          <w:bCs/>
        </w:rPr>
        <w:t>FDIC polic</w:t>
      </w:r>
      <w:r>
        <w:rPr>
          <w:bCs/>
        </w:rPr>
        <w:t>ies</w:t>
      </w:r>
      <w:r w:rsidR="00F051EB">
        <w:rPr>
          <w:bCs/>
        </w:rPr>
        <w:t>.</w:t>
      </w:r>
    </w:p>
    <w:p w:rsidR="00987433" w:rsidRDefault="00987433" w:rsidP="00142DDD">
      <w:pPr>
        <w:pStyle w:val="NoSpacing"/>
        <w:jc w:val="both"/>
        <w:rPr>
          <w:bCs/>
        </w:rPr>
      </w:pPr>
    </w:p>
    <w:p w:rsidR="006671FE" w:rsidRDefault="00987433" w:rsidP="00142DDD">
      <w:pPr>
        <w:pStyle w:val="NoSpacing"/>
        <w:jc w:val="both"/>
        <w:rPr>
          <w:bCs/>
        </w:rPr>
      </w:pPr>
      <w:r>
        <w:rPr>
          <w:bCs/>
        </w:rPr>
        <w:t>S</w:t>
      </w:r>
      <w:r w:rsidR="00142DDD" w:rsidRPr="00142DDD">
        <w:rPr>
          <w:bCs/>
        </w:rPr>
        <w:t>ecurities</w:t>
      </w:r>
      <w:r>
        <w:rPr>
          <w:bCs/>
        </w:rPr>
        <w:t xml:space="preserve"> </w:t>
      </w:r>
      <w:r w:rsidR="00372362">
        <w:rPr>
          <w:bCs/>
        </w:rPr>
        <w:t xml:space="preserve">used as </w:t>
      </w:r>
      <w:r>
        <w:rPr>
          <w:bCs/>
        </w:rPr>
        <w:t>collateral</w:t>
      </w:r>
      <w:r w:rsidR="00142DDD" w:rsidRPr="00142DDD">
        <w:rPr>
          <w:bCs/>
        </w:rPr>
        <w:t xml:space="preserve"> must be held by a third-party </w:t>
      </w:r>
      <w:r>
        <w:rPr>
          <w:bCs/>
        </w:rPr>
        <w:t>safekeepin</w:t>
      </w:r>
      <w:r w:rsidR="00142DDD" w:rsidRPr="00142DDD">
        <w:rPr>
          <w:bCs/>
        </w:rPr>
        <w:t>g “custody agent</w:t>
      </w:r>
      <w:r>
        <w:rPr>
          <w:bCs/>
        </w:rPr>
        <w:t>.</w:t>
      </w:r>
      <w:r w:rsidR="00142DDD" w:rsidRPr="00142DDD">
        <w:rPr>
          <w:bCs/>
        </w:rPr>
        <w:t>”</w:t>
      </w:r>
      <w:r w:rsidR="00876D63">
        <w:rPr>
          <w:bCs/>
        </w:rPr>
        <w:t xml:space="preserve">  The c</w:t>
      </w:r>
      <w:r>
        <w:rPr>
          <w:bCs/>
        </w:rPr>
        <w:t xml:space="preserve">ollateral </w:t>
      </w:r>
      <w:r w:rsidR="00876D63">
        <w:rPr>
          <w:bCs/>
        </w:rPr>
        <w:t>a</w:t>
      </w:r>
      <w:r>
        <w:rPr>
          <w:bCs/>
        </w:rPr>
        <w:t>greement to be executed</w:t>
      </w:r>
      <w:r w:rsidR="00BE7037">
        <w:rPr>
          <w:bCs/>
        </w:rPr>
        <w:t xml:space="preserve"> depends upon</w:t>
      </w:r>
      <w:r w:rsidR="006671FE">
        <w:rPr>
          <w:bCs/>
        </w:rPr>
        <w:t>:</w:t>
      </w:r>
    </w:p>
    <w:p w:rsidR="00F0343F" w:rsidRDefault="006671FE" w:rsidP="006671FE">
      <w:pPr>
        <w:pStyle w:val="NoSpacing"/>
        <w:numPr>
          <w:ilvl w:val="0"/>
          <w:numId w:val="10"/>
        </w:numPr>
        <w:jc w:val="both"/>
        <w:rPr>
          <w:bCs/>
        </w:rPr>
      </w:pPr>
      <w:r>
        <w:rPr>
          <w:bCs/>
        </w:rPr>
        <w:t>Method</w:t>
      </w:r>
      <w:r w:rsidR="00BE7037">
        <w:rPr>
          <w:bCs/>
        </w:rPr>
        <w:t xml:space="preserve"> u</w:t>
      </w:r>
      <w:r>
        <w:rPr>
          <w:bCs/>
        </w:rPr>
        <w:t>tilized - Dedicated or Pooling</w:t>
      </w:r>
      <w:r w:rsidR="009E59CF">
        <w:rPr>
          <w:bCs/>
        </w:rPr>
        <w:t xml:space="preserve"> (and who is the pledgee, State Treasurer or Local Entity)</w:t>
      </w:r>
    </w:p>
    <w:p w:rsidR="00BE7037" w:rsidRDefault="006671FE" w:rsidP="006671FE">
      <w:pPr>
        <w:pStyle w:val="NoSpacing"/>
        <w:numPr>
          <w:ilvl w:val="0"/>
          <w:numId w:val="10"/>
        </w:numPr>
        <w:jc w:val="both"/>
        <w:rPr>
          <w:bCs/>
        </w:rPr>
      </w:pPr>
      <w:r>
        <w:rPr>
          <w:bCs/>
        </w:rPr>
        <w:t>Custody agent utilized - FRB</w:t>
      </w:r>
      <w:r w:rsidR="003C7E3C">
        <w:rPr>
          <w:bCs/>
        </w:rPr>
        <w:t>, F</w:t>
      </w:r>
      <w:r w:rsidR="00F50C60">
        <w:rPr>
          <w:bCs/>
        </w:rPr>
        <w:t>HLB</w:t>
      </w:r>
      <w:r w:rsidR="00580EFB">
        <w:rPr>
          <w:bCs/>
        </w:rPr>
        <w:t>,</w:t>
      </w:r>
      <w:r>
        <w:rPr>
          <w:bCs/>
        </w:rPr>
        <w:t xml:space="preserve"> or </w:t>
      </w:r>
      <w:r w:rsidR="00F50C60">
        <w:rPr>
          <w:bCs/>
        </w:rPr>
        <w:t>commercial bank</w:t>
      </w:r>
    </w:p>
    <w:p w:rsidR="006671FE" w:rsidRDefault="006671FE" w:rsidP="00142DDD">
      <w:pPr>
        <w:pStyle w:val="NoSpacing"/>
        <w:jc w:val="both"/>
        <w:rPr>
          <w:bCs/>
        </w:rPr>
      </w:pPr>
    </w:p>
    <w:p w:rsidR="00BE7037" w:rsidRDefault="00BE7037" w:rsidP="00142DDD">
      <w:pPr>
        <w:pStyle w:val="NoSpacing"/>
        <w:jc w:val="both"/>
        <w:rPr>
          <w:bCs/>
        </w:rPr>
      </w:pPr>
    </w:p>
    <w:tbl>
      <w:tblPr>
        <w:tblStyle w:val="TableGrid"/>
        <w:tblW w:w="0" w:type="auto"/>
        <w:tblInd w:w="378" w:type="dxa"/>
        <w:tblLook w:val="04A0" w:firstRow="1" w:lastRow="0" w:firstColumn="1" w:lastColumn="0" w:noHBand="0" w:noVBand="1"/>
      </w:tblPr>
      <w:tblGrid>
        <w:gridCol w:w="1253"/>
        <w:gridCol w:w="2797"/>
        <w:gridCol w:w="2589"/>
        <w:gridCol w:w="2333"/>
      </w:tblGrid>
      <w:tr w:rsidR="003C7E3C" w:rsidRPr="003C7E3C" w:rsidTr="000E4F76">
        <w:tc>
          <w:tcPr>
            <w:tcW w:w="9198" w:type="dxa"/>
            <w:gridSpan w:val="4"/>
          </w:tcPr>
          <w:p w:rsidR="003C7E3C" w:rsidRPr="003C7E3C" w:rsidRDefault="003C7E3C" w:rsidP="000E4F76">
            <w:pPr>
              <w:pStyle w:val="NoSpacing"/>
              <w:jc w:val="center"/>
              <w:rPr>
                <w:bCs/>
              </w:rPr>
            </w:pPr>
            <w:bookmarkStart w:id="1" w:name="_Hlk528656098"/>
            <w:r w:rsidRPr="003C7E3C">
              <w:rPr>
                <w:bCs/>
              </w:rPr>
              <w:t xml:space="preserve">Collateral Agreement to Use – Dependent Upon Method and </w:t>
            </w:r>
            <w:r w:rsidR="003F7A8B">
              <w:rPr>
                <w:bCs/>
              </w:rPr>
              <w:t>Custody</w:t>
            </w:r>
            <w:r w:rsidRPr="003C7E3C">
              <w:rPr>
                <w:bCs/>
              </w:rPr>
              <w:t xml:space="preserve"> Agent</w:t>
            </w:r>
          </w:p>
          <w:p w:rsidR="003C7E3C" w:rsidRPr="003C7E3C" w:rsidRDefault="003C7E3C" w:rsidP="000E4F76">
            <w:pPr>
              <w:pStyle w:val="NoSpacing"/>
              <w:jc w:val="center"/>
              <w:rPr>
                <w:bCs/>
              </w:rPr>
            </w:pPr>
            <w:r w:rsidRPr="003C7E3C">
              <w:rPr>
                <w:bCs/>
              </w:rPr>
              <w:t>Applies to Pledgee Being the State Treasurer</w:t>
            </w:r>
          </w:p>
        </w:tc>
      </w:tr>
      <w:tr w:rsidR="003C7E3C" w:rsidRPr="003C7E3C" w:rsidTr="000E4F76">
        <w:tc>
          <w:tcPr>
            <w:tcW w:w="1260" w:type="dxa"/>
            <w:vMerge w:val="restart"/>
            <w:vAlign w:val="center"/>
          </w:tcPr>
          <w:p w:rsidR="003C7E3C" w:rsidRPr="003C7E3C" w:rsidRDefault="003C7E3C" w:rsidP="003C7E3C">
            <w:pPr>
              <w:pStyle w:val="NoSpacing"/>
              <w:jc w:val="both"/>
              <w:rPr>
                <w:bCs/>
              </w:rPr>
            </w:pPr>
            <w:r w:rsidRPr="003C7E3C">
              <w:rPr>
                <w:bCs/>
              </w:rPr>
              <w:t>Method</w:t>
            </w:r>
          </w:p>
        </w:tc>
        <w:tc>
          <w:tcPr>
            <w:tcW w:w="7938" w:type="dxa"/>
            <w:gridSpan w:val="3"/>
            <w:tcBorders>
              <w:bottom w:val="single" w:sz="4" w:space="0" w:color="auto"/>
            </w:tcBorders>
          </w:tcPr>
          <w:p w:rsidR="003C7E3C" w:rsidRPr="003C7E3C" w:rsidRDefault="003F7A8B" w:rsidP="000E4F76">
            <w:pPr>
              <w:pStyle w:val="NoSpacing"/>
              <w:jc w:val="center"/>
              <w:rPr>
                <w:bCs/>
              </w:rPr>
            </w:pPr>
            <w:r>
              <w:rPr>
                <w:bCs/>
              </w:rPr>
              <w:t>Custody</w:t>
            </w:r>
            <w:r w:rsidR="003C7E3C" w:rsidRPr="003C7E3C">
              <w:rPr>
                <w:bCs/>
              </w:rPr>
              <w:t xml:space="preserve"> Agent</w:t>
            </w:r>
          </w:p>
        </w:tc>
      </w:tr>
      <w:tr w:rsidR="003C7E3C" w:rsidRPr="003C7E3C" w:rsidTr="000E4F76">
        <w:tc>
          <w:tcPr>
            <w:tcW w:w="1260" w:type="dxa"/>
            <w:vMerge/>
            <w:tcBorders>
              <w:bottom w:val="single" w:sz="4" w:space="0" w:color="auto"/>
            </w:tcBorders>
          </w:tcPr>
          <w:p w:rsidR="003C7E3C" w:rsidRPr="003C7E3C" w:rsidRDefault="003C7E3C" w:rsidP="003C7E3C">
            <w:pPr>
              <w:pStyle w:val="NoSpacing"/>
              <w:jc w:val="both"/>
              <w:rPr>
                <w:bCs/>
              </w:rPr>
            </w:pPr>
          </w:p>
        </w:tc>
        <w:tc>
          <w:tcPr>
            <w:tcW w:w="2880" w:type="dxa"/>
            <w:shd w:val="clear" w:color="auto" w:fill="EEECE1" w:themeFill="background2"/>
          </w:tcPr>
          <w:p w:rsidR="003C7E3C" w:rsidRPr="003C7E3C" w:rsidRDefault="003C7E3C" w:rsidP="000E4F76">
            <w:pPr>
              <w:pStyle w:val="NoSpacing"/>
              <w:jc w:val="center"/>
              <w:rPr>
                <w:bCs/>
              </w:rPr>
            </w:pPr>
            <w:r w:rsidRPr="003C7E3C">
              <w:rPr>
                <w:bCs/>
              </w:rPr>
              <w:t>Commercial Bank</w:t>
            </w:r>
          </w:p>
        </w:tc>
        <w:tc>
          <w:tcPr>
            <w:tcW w:w="2664" w:type="dxa"/>
            <w:shd w:val="clear" w:color="auto" w:fill="EEECE1" w:themeFill="background2"/>
          </w:tcPr>
          <w:p w:rsidR="003C7E3C" w:rsidRPr="003C7E3C" w:rsidRDefault="003C7E3C" w:rsidP="000E4F76">
            <w:pPr>
              <w:pStyle w:val="NoSpacing"/>
              <w:jc w:val="center"/>
              <w:rPr>
                <w:bCs/>
              </w:rPr>
            </w:pPr>
            <w:r w:rsidRPr="003C7E3C">
              <w:rPr>
                <w:bCs/>
              </w:rPr>
              <w:t>FHLB</w:t>
            </w:r>
          </w:p>
        </w:tc>
        <w:tc>
          <w:tcPr>
            <w:tcW w:w="2394" w:type="dxa"/>
            <w:shd w:val="clear" w:color="auto" w:fill="EEECE1" w:themeFill="background2"/>
          </w:tcPr>
          <w:p w:rsidR="003C7E3C" w:rsidRPr="003C7E3C" w:rsidRDefault="003C7E3C" w:rsidP="000E4F76">
            <w:pPr>
              <w:pStyle w:val="NoSpacing"/>
              <w:jc w:val="center"/>
              <w:rPr>
                <w:bCs/>
              </w:rPr>
            </w:pPr>
            <w:r w:rsidRPr="003C7E3C">
              <w:rPr>
                <w:bCs/>
              </w:rPr>
              <w:t>FRB</w:t>
            </w:r>
          </w:p>
        </w:tc>
      </w:tr>
      <w:tr w:rsidR="003C7E3C" w:rsidRPr="003C7E3C" w:rsidTr="000E4F76">
        <w:tc>
          <w:tcPr>
            <w:tcW w:w="1260" w:type="dxa"/>
            <w:shd w:val="clear" w:color="auto" w:fill="EEECE1" w:themeFill="background2"/>
          </w:tcPr>
          <w:p w:rsidR="003C7E3C" w:rsidRPr="003C7E3C" w:rsidRDefault="003C7E3C" w:rsidP="003C7E3C">
            <w:pPr>
              <w:pStyle w:val="NoSpacing"/>
              <w:jc w:val="both"/>
              <w:rPr>
                <w:bCs/>
              </w:rPr>
            </w:pPr>
            <w:r w:rsidRPr="003C7E3C">
              <w:rPr>
                <w:bCs/>
              </w:rPr>
              <w:t>Dedicated</w:t>
            </w:r>
            <w:r w:rsidR="00CA2EA4">
              <w:rPr>
                <w:bCs/>
              </w:rPr>
              <w:br/>
            </w:r>
            <w:r w:rsidR="00CA2EA4" w:rsidRPr="00CA2EA4">
              <w:rPr>
                <w:bCs/>
                <w:sz w:val="16"/>
                <w:szCs w:val="16"/>
              </w:rPr>
              <w:t>(State Deposits)</w:t>
            </w:r>
          </w:p>
        </w:tc>
        <w:tc>
          <w:tcPr>
            <w:tcW w:w="2880" w:type="dxa"/>
          </w:tcPr>
          <w:p w:rsidR="003C7E3C" w:rsidRPr="003C7E3C" w:rsidRDefault="003C7E3C" w:rsidP="000E4F76">
            <w:pPr>
              <w:pStyle w:val="NoSpacing"/>
              <w:rPr>
                <w:bCs/>
              </w:rPr>
            </w:pPr>
            <w:r w:rsidRPr="003C7E3C">
              <w:rPr>
                <w:bCs/>
              </w:rPr>
              <w:t>Tri-Party Collateral Agreement - Dedicated</w:t>
            </w:r>
          </w:p>
        </w:tc>
        <w:tc>
          <w:tcPr>
            <w:tcW w:w="2664" w:type="dxa"/>
          </w:tcPr>
          <w:p w:rsidR="003C7E3C" w:rsidRPr="003C7E3C" w:rsidRDefault="003C7E3C" w:rsidP="000E4F76">
            <w:pPr>
              <w:pStyle w:val="NoSpacing"/>
              <w:rPr>
                <w:bCs/>
              </w:rPr>
            </w:pPr>
            <w:r w:rsidRPr="003C7E3C">
              <w:rPr>
                <w:bCs/>
              </w:rPr>
              <w:t>Tri-Party Collateral Agreement – Dedicated (FHLB version)</w:t>
            </w:r>
          </w:p>
        </w:tc>
        <w:tc>
          <w:tcPr>
            <w:tcW w:w="2394" w:type="dxa"/>
          </w:tcPr>
          <w:p w:rsidR="003C7E3C" w:rsidRPr="003C7E3C" w:rsidRDefault="003C7E3C" w:rsidP="000E4F76">
            <w:pPr>
              <w:pStyle w:val="NoSpacing"/>
              <w:rPr>
                <w:bCs/>
              </w:rPr>
            </w:pPr>
            <w:r w:rsidRPr="003C7E3C">
              <w:rPr>
                <w:bCs/>
              </w:rPr>
              <w:t xml:space="preserve">Pledged Security Agreement </w:t>
            </w:r>
            <w:r w:rsidR="009E59CF">
              <w:rPr>
                <w:bCs/>
              </w:rPr>
              <w:t>for</w:t>
            </w:r>
            <w:r w:rsidRPr="003C7E3C">
              <w:rPr>
                <w:bCs/>
              </w:rPr>
              <w:t xml:space="preserve"> FRB – Dedicated Method</w:t>
            </w:r>
          </w:p>
        </w:tc>
      </w:tr>
      <w:tr w:rsidR="003C7E3C" w:rsidRPr="003C7E3C" w:rsidTr="000E4F76">
        <w:tc>
          <w:tcPr>
            <w:tcW w:w="1260" w:type="dxa"/>
            <w:shd w:val="clear" w:color="auto" w:fill="EEECE1" w:themeFill="background2"/>
          </w:tcPr>
          <w:p w:rsidR="003C7E3C" w:rsidRPr="003C7E3C" w:rsidRDefault="003C7E3C" w:rsidP="003C7E3C">
            <w:pPr>
              <w:pStyle w:val="NoSpacing"/>
              <w:jc w:val="both"/>
              <w:rPr>
                <w:bCs/>
              </w:rPr>
            </w:pPr>
            <w:r w:rsidRPr="003C7E3C">
              <w:rPr>
                <w:bCs/>
              </w:rPr>
              <w:t>Pooling</w:t>
            </w:r>
            <w:r w:rsidR="00CA2EA4">
              <w:rPr>
                <w:bCs/>
              </w:rPr>
              <w:br/>
            </w:r>
            <w:r w:rsidR="00CA2EA4" w:rsidRPr="00CA2EA4">
              <w:rPr>
                <w:bCs/>
                <w:sz w:val="16"/>
                <w:szCs w:val="16"/>
              </w:rPr>
              <w:t>(Local Deposits)</w:t>
            </w:r>
          </w:p>
        </w:tc>
        <w:tc>
          <w:tcPr>
            <w:tcW w:w="2880" w:type="dxa"/>
          </w:tcPr>
          <w:p w:rsidR="003C7E3C" w:rsidRPr="003C7E3C" w:rsidRDefault="003C7E3C" w:rsidP="000E4F76">
            <w:pPr>
              <w:pStyle w:val="NoSpacing"/>
              <w:rPr>
                <w:bCs/>
              </w:rPr>
            </w:pPr>
            <w:r w:rsidRPr="003C7E3C">
              <w:rPr>
                <w:bCs/>
              </w:rPr>
              <w:t>Tri-Party Collateral Agreement - Pooling</w:t>
            </w:r>
          </w:p>
        </w:tc>
        <w:tc>
          <w:tcPr>
            <w:tcW w:w="2664" w:type="dxa"/>
          </w:tcPr>
          <w:p w:rsidR="003C7E3C" w:rsidRPr="003C7E3C" w:rsidRDefault="003C7E3C" w:rsidP="000E4F76">
            <w:pPr>
              <w:pStyle w:val="NoSpacing"/>
              <w:rPr>
                <w:bCs/>
              </w:rPr>
            </w:pPr>
            <w:r w:rsidRPr="003C7E3C">
              <w:rPr>
                <w:bCs/>
              </w:rPr>
              <w:t>Tri-Party Collateral Agreement – Pooling</w:t>
            </w:r>
          </w:p>
          <w:p w:rsidR="003C7E3C" w:rsidRPr="003C7E3C" w:rsidRDefault="003C7E3C" w:rsidP="000E4F76">
            <w:pPr>
              <w:pStyle w:val="NoSpacing"/>
              <w:rPr>
                <w:bCs/>
              </w:rPr>
            </w:pPr>
            <w:r w:rsidRPr="003C7E3C">
              <w:rPr>
                <w:bCs/>
              </w:rPr>
              <w:t>(FHLB version)</w:t>
            </w:r>
          </w:p>
        </w:tc>
        <w:tc>
          <w:tcPr>
            <w:tcW w:w="2394" w:type="dxa"/>
          </w:tcPr>
          <w:p w:rsidR="003C7E3C" w:rsidRPr="003C7E3C" w:rsidRDefault="003C7E3C" w:rsidP="000E4F76">
            <w:pPr>
              <w:pStyle w:val="NoSpacing"/>
              <w:rPr>
                <w:bCs/>
              </w:rPr>
            </w:pPr>
            <w:r w:rsidRPr="003C7E3C">
              <w:rPr>
                <w:bCs/>
              </w:rPr>
              <w:t xml:space="preserve">Pledged Security Agreement </w:t>
            </w:r>
            <w:r w:rsidR="009E59CF">
              <w:rPr>
                <w:bCs/>
              </w:rPr>
              <w:t>for</w:t>
            </w:r>
            <w:r w:rsidRPr="003C7E3C">
              <w:rPr>
                <w:bCs/>
              </w:rPr>
              <w:t xml:space="preserve"> FRB – Pooling Method</w:t>
            </w:r>
          </w:p>
        </w:tc>
      </w:tr>
      <w:bookmarkEnd w:id="1"/>
    </w:tbl>
    <w:p w:rsidR="003C7E3C" w:rsidRDefault="003C7E3C" w:rsidP="00142DDD">
      <w:pPr>
        <w:pStyle w:val="NoSpacing"/>
        <w:jc w:val="both"/>
        <w:rPr>
          <w:bCs/>
        </w:rPr>
      </w:pPr>
    </w:p>
    <w:tbl>
      <w:tblPr>
        <w:tblStyle w:val="TableGrid"/>
        <w:tblW w:w="8987" w:type="dxa"/>
        <w:tblInd w:w="378" w:type="dxa"/>
        <w:tblLook w:val="04A0" w:firstRow="1" w:lastRow="0" w:firstColumn="1" w:lastColumn="0" w:noHBand="0" w:noVBand="1"/>
      </w:tblPr>
      <w:tblGrid>
        <w:gridCol w:w="1255"/>
        <w:gridCol w:w="2800"/>
        <w:gridCol w:w="2592"/>
        <w:gridCol w:w="2340"/>
      </w:tblGrid>
      <w:tr w:rsidR="000A6BCB" w:rsidRPr="003C7E3C" w:rsidTr="00CA2EA4">
        <w:trPr>
          <w:trHeight w:val="506"/>
        </w:trPr>
        <w:tc>
          <w:tcPr>
            <w:tcW w:w="8987" w:type="dxa"/>
            <w:gridSpan w:val="4"/>
          </w:tcPr>
          <w:p w:rsidR="000A6BCB" w:rsidRPr="003C7E3C" w:rsidRDefault="000A6BCB" w:rsidP="0064519D">
            <w:pPr>
              <w:pStyle w:val="NoSpacing"/>
              <w:jc w:val="center"/>
              <w:rPr>
                <w:bCs/>
              </w:rPr>
            </w:pPr>
            <w:r w:rsidRPr="003C7E3C">
              <w:rPr>
                <w:bCs/>
              </w:rPr>
              <w:t xml:space="preserve">Collateral Agreement to Use – Dependent Upon Method and </w:t>
            </w:r>
            <w:r w:rsidR="003F7A8B">
              <w:rPr>
                <w:bCs/>
              </w:rPr>
              <w:t>Custody</w:t>
            </w:r>
            <w:r w:rsidRPr="003C7E3C">
              <w:rPr>
                <w:bCs/>
              </w:rPr>
              <w:t xml:space="preserve"> Agent</w:t>
            </w:r>
          </w:p>
          <w:p w:rsidR="000A6BCB" w:rsidRPr="003C7E3C" w:rsidRDefault="000A6BCB" w:rsidP="0064519D">
            <w:pPr>
              <w:pStyle w:val="NoSpacing"/>
              <w:jc w:val="center"/>
              <w:rPr>
                <w:bCs/>
              </w:rPr>
            </w:pPr>
            <w:r w:rsidRPr="003C7E3C">
              <w:rPr>
                <w:bCs/>
              </w:rPr>
              <w:t xml:space="preserve">Applies to Pledgee Being </w:t>
            </w:r>
            <w:r>
              <w:rPr>
                <w:bCs/>
              </w:rPr>
              <w:t>a Local Entity</w:t>
            </w:r>
          </w:p>
        </w:tc>
      </w:tr>
      <w:tr w:rsidR="000A6BCB" w:rsidRPr="003C7E3C" w:rsidTr="00CA2EA4">
        <w:trPr>
          <w:trHeight w:val="260"/>
        </w:trPr>
        <w:tc>
          <w:tcPr>
            <w:tcW w:w="1255" w:type="dxa"/>
            <w:vMerge w:val="restart"/>
            <w:vAlign w:val="center"/>
          </w:tcPr>
          <w:p w:rsidR="000A6BCB" w:rsidRPr="003C7E3C" w:rsidRDefault="000A6BCB" w:rsidP="0064519D">
            <w:pPr>
              <w:pStyle w:val="NoSpacing"/>
              <w:jc w:val="both"/>
              <w:rPr>
                <w:bCs/>
              </w:rPr>
            </w:pPr>
            <w:r w:rsidRPr="003C7E3C">
              <w:rPr>
                <w:bCs/>
              </w:rPr>
              <w:t>Method</w:t>
            </w:r>
          </w:p>
        </w:tc>
        <w:tc>
          <w:tcPr>
            <w:tcW w:w="7732" w:type="dxa"/>
            <w:gridSpan w:val="3"/>
            <w:tcBorders>
              <w:bottom w:val="single" w:sz="4" w:space="0" w:color="auto"/>
            </w:tcBorders>
          </w:tcPr>
          <w:p w:rsidR="000A6BCB" w:rsidRPr="003C7E3C" w:rsidRDefault="003F7A8B" w:rsidP="0064519D">
            <w:pPr>
              <w:pStyle w:val="NoSpacing"/>
              <w:jc w:val="center"/>
              <w:rPr>
                <w:bCs/>
              </w:rPr>
            </w:pPr>
            <w:r>
              <w:rPr>
                <w:bCs/>
              </w:rPr>
              <w:t>Custody</w:t>
            </w:r>
            <w:r w:rsidR="000A6BCB" w:rsidRPr="003C7E3C">
              <w:rPr>
                <w:bCs/>
              </w:rPr>
              <w:t xml:space="preserve"> Agent</w:t>
            </w:r>
          </w:p>
        </w:tc>
      </w:tr>
      <w:tr w:rsidR="000A6BCB" w:rsidRPr="003C7E3C" w:rsidTr="00CA2EA4">
        <w:trPr>
          <w:trHeight w:val="275"/>
        </w:trPr>
        <w:tc>
          <w:tcPr>
            <w:tcW w:w="1255" w:type="dxa"/>
            <w:vMerge/>
            <w:tcBorders>
              <w:bottom w:val="single" w:sz="4" w:space="0" w:color="auto"/>
            </w:tcBorders>
          </w:tcPr>
          <w:p w:rsidR="000A6BCB" w:rsidRPr="003C7E3C" w:rsidRDefault="000A6BCB" w:rsidP="0064519D">
            <w:pPr>
              <w:pStyle w:val="NoSpacing"/>
              <w:jc w:val="both"/>
              <w:rPr>
                <w:bCs/>
              </w:rPr>
            </w:pPr>
          </w:p>
        </w:tc>
        <w:tc>
          <w:tcPr>
            <w:tcW w:w="2800" w:type="dxa"/>
            <w:shd w:val="clear" w:color="auto" w:fill="EEECE1" w:themeFill="background2"/>
          </w:tcPr>
          <w:p w:rsidR="000A6BCB" w:rsidRPr="003C7E3C" w:rsidRDefault="000A6BCB" w:rsidP="0064519D">
            <w:pPr>
              <w:pStyle w:val="NoSpacing"/>
              <w:jc w:val="center"/>
              <w:rPr>
                <w:bCs/>
              </w:rPr>
            </w:pPr>
            <w:r w:rsidRPr="003C7E3C">
              <w:rPr>
                <w:bCs/>
              </w:rPr>
              <w:t>Commercial Bank</w:t>
            </w:r>
          </w:p>
        </w:tc>
        <w:tc>
          <w:tcPr>
            <w:tcW w:w="2592" w:type="dxa"/>
            <w:shd w:val="clear" w:color="auto" w:fill="EEECE1" w:themeFill="background2"/>
          </w:tcPr>
          <w:p w:rsidR="000A6BCB" w:rsidRPr="003C7E3C" w:rsidRDefault="000A6BCB" w:rsidP="0064519D">
            <w:pPr>
              <w:pStyle w:val="NoSpacing"/>
              <w:jc w:val="center"/>
              <w:rPr>
                <w:bCs/>
              </w:rPr>
            </w:pPr>
            <w:r w:rsidRPr="003C7E3C">
              <w:rPr>
                <w:bCs/>
              </w:rPr>
              <w:t>FHLB</w:t>
            </w:r>
          </w:p>
        </w:tc>
        <w:tc>
          <w:tcPr>
            <w:tcW w:w="2340" w:type="dxa"/>
            <w:shd w:val="clear" w:color="auto" w:fill="EEECE1" w:themeFill="background2"/>
          </w:tcPr>
          <w:p w:rsidR="000A6BCB" w:rsidRPr="003C7E3C" w:rsidRDefault="000A6BCB" w:rsidP="0064519D">
            <w:pPr>
              <w:pStyle w:val="NoSpacing"/>
              <w:jc w:val="center"/>
              <w:rPr>
                <w:bCs/>
              </w:rPr>
            </w:pPr>
            <w:r w:rsidRPr="003C7E3C">
              <w:rPr>
                <w:bCs/>
              </w:rPr>
              <w:t>FRB</w:t>
            </w:r>
          </w:p>
        </w:tc>
      </w:tr>
      <w:tr w:rsidR="000A6BCB" w:rsidRPr="003C7E3C" w:rsidTr="00CA2EA4">
        <w:trPr>
          <w:trHeight w:val="1718"/>
        </w:trPr>
        <w:tc>
          <w:tcPr>
            <w:tcW w:w="1255" w:type="dxa"/>
            <w:shd w:val="clear" w:color="auto" w:fill="EEECE1" w:themeFill="background2"/>
          </w:tcPr>
          <w:p w:rsidR="000A6BCB" w:rsidRPr="003C7E3C" w:rsidRDefault="000A6BCB" w:rsidP="0064519D">
            <w:pPr>
              <w:pStyle w:val="NoSpacing"/>
              <w:jc w:val="both"/>
              <w:rPr>
                <w:bCs/>
              </w:rPr>
            </w:pPr>
            <w:r w:rsidRPr="003C7E3C">
              <w:rPr>
                <w:bCs/>
              </w:rPr>
              <w:t>Dedicated</w:t>
            </w:r>
            <w:r w:rsidR="00CA2EA4">
              <w:rPr>
                <w:bCs/>
              </w:rPr>
              <w:br/>
            </w:r>
            <w:r w:rsidR="00CA2EA4" w:rsidRPr="00CA2EA4">
              <w:rPr>
                <w:bCs/>
                <w:sz w:val="16"/>
                <w:szCs w:val="16"/>
              </w:rPr>
              <w:t>(Local Deposits)</w:t>
            </w:r>
          </w:p>
        </w:tc>
        <w:tc>
          <w:tcPr>
            <w:tcW w:w="2800" w:type="dxa"/>
          </w:tcPr>
          <w:p w:rsidR="000A6BCB" w:rsidRPr="003C7E3C" w:rsidRDefault="000A6BCB" w:rsidP="0064519D">
            <w:pPr>
              <w:pStyle w:val="NoSpacing"/>
              <w:rPr>
                <w:bCs/>
              </w:rPr>
            </w:pPr>
            <w:r w:rsidRPr="003C7E3C">
              <w:rPr>
                <w:bCs/>
              </w:rPr>
              <w:t xml:space="preserve">Tri-Party Collateral Agreement </w:t>
            </w:r>
            <w:r>
              <w:rPr>
                <w:bCs/>
              </w:rPr>
              <w:t xml:space="preserve">– Provided </w:t>
            </w:r>
            <w:r w:rsidR="00177A5B">
              <w:rPr>
                <w:bCs/>
              </w:rPr>
              <w:t>by commercial bank with terms agreed to by entity’s Legal</w:t>
            </w:r>
          </w:p>
        </w:tc>
        <w:tc>
          <w:tcPr>
            <w:tcW w:w="2592" w:type="dxa"/>
          </w:tcPr>
          <w:p w:rsidR="000A6BCB" w:rsidRPr="003C7E3C" w:rsidRDefault="000A6BCB" w:rsidP="0064519D">
            <w:pPr>
              <w:pStyle w:val="NoSpacing"/>
              <w:rPr>
                <w:bCs/>
              </w:rPr>
            </w:pPr>
            <w:r w:rsidRPr="003C7E3C">
              <w:rPr>
                <w:bCs/>
              </w:rPr>
              <w:t xml:space="preserve">Tri-Party Collateral Agreement – </w:t>
            </w:r>
            <w:r w:rsidR="00177A5B">
              <w:rPr>
                <w:bCs/>
              </w:rPr>
              <w:t>Provided by FHLB with terms agreed to by entity’s Legal</w:t>
            </w:r>
          </w:p>
        </w:tc>
        <w:tc>
          <w:tcPr>
            <w:tcW w:w="2340" w:type="dxa"/>
          </w:tcPr>
          <w:p w:rsidR="000A6BCB" w:rsidRPr="003C7E3C" w:rsidRDefault="000A6BCB" w:rsidP="0064519D">
            <w:pPr>
              <w:pStyle w:val="NoSpacing"/>
              <w:rPr>
                <w:bCs/>
              </w:rPr>
            </w:pPr>
            <w:r w:rsidRPr="003C7E3C">
              <w:rPr>
                <w:bCs/>
              </w:rPr>
              <w:t xml:space="preserve">Pledged Security Agreement </w:t>
            </w:r>
            <w:r w:rsidR="009E59CF">
              <w:rPr>
                <w:bCs/>
              </w:rPr>
              <w:t>for</w:t>
            </w:r>
            <w:r w:rsidRPr="003C7E3C">
              <w:rPr>
                <w:bCs/>
              </w:rPr>
              <w:t xml:space="preserve"> FRB – </w:t>
            </w:r>
            <w:r w:rsidR="00177A5B">
              <w:rPr>
                <w:bCs/>
              </w:rPr>
              <w:t>Provided by commercial bank with terms agreed to by entity’s Legal</w:t>
            </w:r>
          </w:p>
        </w:tc>
      </w:tr>
    </w:tbl>
    <w:p w:rsidR="000A6BCB" w:rsidRDefault="000A6BCB" w:rsidP="00142DDD">
      <w:pPr>
        <w:pStyle w:val="NoSpacing"/>
        <w:jc w:val="both"/>
        <w:rPr>
          <w:bCs/>
        </w:rPr>
      </w:pPr>
    </w:p>
    <w:p w:rsidR="000A6BCB" w:rsidRDefault="000A6BCB" w:rsidP="00142DDD">
      <w:pPr>
        <w:pStyle w:val="NoSpacing"/>
        <w:jc w:val="both"/>
        <w:rPr>
          <w:bCs/>
        </w:rPr>
      </w:pPr>
    </w:p>
    <w:p w:rsidR="00BE7037" w:rsidRDefault="006671FE" w:rsidP="00142DDD">
      <w:pPr>
        <w:pStyle w:val="NoSpacing"/>
        <w:jc w:val="both"/>
        <w:rPr>
          <w:bCs/>
        </w:rPr>
      </w:pPr>
      <w:r>
        <w:rPr>
          <w:bCs/>
        </w:rPr>
        <w:t xml:space="preserve">If the </w:t>
      </w:r>
      <w:r w:rsidR="003C7E3C">
        <w:rPr>
          <w:bCs/>
        </w:rPr>
        <w:t>Federal Reserve Bank (</w:t>
      </w:r>
      <w:r>
        <w:rPr>
          <w:bCs/>
        </w:rPr>
        <w:t>FRB</w:t>
      </w:r>
      <w:r w:rsidR="003C7E3C">
        <w:rPr>
          <w:bCs/>
        </w:rPr>
        <w:t>)</w:t>
      </w:r>
      <w:r>
        <w:rPr>
          <w:bCs/>
        </w:rPr>
        <w:t xml:space="preserve"> is the custody agent, </w:t>
      </w:r>
      <w:r w:rsidR="00835FD9">
        <w:rPr>
          <w:bCs/>
        </w:rPr>
        <w:t xml:space="preserve">by reference </w:t>
      </w:r>
      <w:r>
        <w:rPr>
          <w:bCs/>
        </w:rPr>
        <w:t xml:space="preserve">the </w:t>
      </w:r>
      <w:r w:rsidR="00876D63">
        <w:rPr>
          <w:bCs/>
        </w:rPr>
        <w:t xml:space="preserve">current version of the FRB’s </w:t>
      </w:r>
      <w:r>
        <w:rPr>
          <w:bCs/>
        </w:rPr>
        <w:t>Operating Circular 7</w:t>
      </w:r>
      <w:r w:rsidR="00876D63">
        <w:rPr>
          <w:bCs/>
        </w:rPr>
        <w:t xml:space="preserve"> </w:t>
      </w:r>
      <w:r w:rsidR="00876D63" w:rsidRPr="00876D63">
        <w:rPr>
          <w:rFonts w:ascii="Calibri" w:eastAsia="Calibri" w:hAnsi="Calibri" w:cs="Times New Roman"/>
          <w:sz w:val="21"/>
          <w:szCs w:val="21"/>
        </w:rPr>
        <w:t>and associated Appendix C</w:t>
      </w:r>
      <w:r w:rsidR="00835FD9">
        <w:rPr>
          <w:rFonts w:ascii="Calibri" w:eastAsia="Calibri" w:hAnsi="Calibri" w:cs="Times New Roman"/>
          <w:sz w:val="21"/>
          <w:szCs w:val="21"/>
        </w:rPr>
        <w:t xml:space="preserve"> are</w:t>
      </w:r>
      <w:r>
        <w:rPr>
          <w:bCs/>
        </w:rPr>
        <w:t xml:space="preserve"> incorporated into the Pledged Security Agreement. </w:t>
      </w:r>
    </w:p>
    <w:p w:rsidR="00BE7037" w:rsidRDefault="00F72A0F" w:rsidP="00142DDD">
      <w:pPr>
        <w:pStyle w:val="NoSpacing"/>
        <w:jc w:val="both"/>
        <w:rPr>
          <w:bCs/>
        </w:rPr>
      </w:pPr>
      <w:r>
        <w:rPr>
          <w:bCs/>
        </w:rPr>
        <w:t>Note that i</w:t>
      </w:r>
      <w:r w:rsidR="00385680">
        <w:rPr>
          <w:bCs/>
        </w:rPr>
        <w:t xml:space="preserve">f the pledgee is </w:t>
      </w:r>
      <w:r w:rsidR="00385680" w:rsidRPr="00F72A0F">
        <w:rPr>
          <w:bCs/>
          <w:u w:val="single"/>
        </w:rPr>
        <w:t>not</w:t>
      </w:r>
      <w:r w:rsidR="00385680">
        <w:rPr>
          <w:bCs/>
        </w:rPr>
        <w:t xml:space="preserve"> the State Treasurer (e.g., local entity u</w:t>
      </w:r>
      <w:r>
        <w:rPr>
          <w:bCs/>
        </w:rPr>
        <w:t xml:space="preserve">tilizing the </w:t>
      </w:r>
      <w:r w:rsidR="00F9107E">
        <w:rPr>
          <w:bCs/>
        </w:rPr>
        <w:t>D</w:t>
      </w:r>
      <w:r>
        <w:rPr>
          <w:bCs/>
        </w:rPr>
        <w:t xml:space="preserve">edicated </w:t>
      </w:r>
      <w:r w:rsidR="00F9107E">
        <w:rPr>
          <w:bCs/>
        </w:rPr>
        <w:t>M</w:t>
      </w:r>
      <w:r>
        <w:rPr>
          <w:bCs/>
        </w:rPr>
        <w:t>ethod</w:t>
      </w:r>
      <w:r w:rsidR="00385680">
        <w:rPr>
          <w:bCs/>
        </w:rPr>
        <w:t xml:space="preserve">, or public entity under </w:t>
      </w:r>
      <w:r w:rsidR="00385680" w:rsidRPr="00142DDD">
        <w:rPr>
          <w:bCs/>
        </w:rPr>
        <w:t>Section 11-1-50</w:t>
      </w:r>
      <w:r w:rsidR="00385680">
        <w:rPr>
          <w:bCs/>
        </w:rPr>
        <w:t xml:space="preserve">), the </w:t>
      </w:r>
      <w:r>
        <w:rPr>
          <w:bCs/>
        </w:rPr>
        <w:t>State Treasurer is not a party to any agreement the entity may have with its depository bank, nor is responsible for any monitoring.</w:t>
      </w:r>
    </w:p>
    <w:p w:rsidR="00893FE8" w:rsidRDefault="00893FE8" w:rsidP="00142DDD">
      <w:pPr>
        <w:pStyle w:val="NoSpacing"/>
        <w:jc w:val="both"/>
        <w:rPr>
          <w:bCs/>
        </w:rPr>
      </w:pPr>
    </w:p>
    <w:p w:rsidR="00893FE8" w:rsidRDefault="00893FE8" w:rsidP="00142DDD">
      <w:pPr>
        <w:pStyle w:val="NoSpacing"/>
        <w:jc w:val="both"/>
        <w:rPr>
          <w:bCs/>
        </w:rPr>
      </w:pPr>
      <w:r>
        <w:rPr>
          <w:bCs/>
        </w:rPr>
        <w:t>If a Letter of Credit</w:t>
      </w:r>
      <w:r w:rsidR="00AC0875">
        <w:rPr>
          <w:bCs/>
        </w:rPr>
        <w:t xml:space="preserve"> (LOC)</w:t>
      </w:r>
      <w:r>
        <w:rPr>
          <w:bCs/>
        </w:rPr>
        <w:t xml:space="preserve"> issued by the Federal Home Loan Bank </w:t>
      </w:r>
      <w:r w:rsidR="006C4DBE">
        <w:rPr>
          <w:bCs/>
        </w:rPr>
        <w:t xml:space="preserve">(FHLB) </w:t>
      </w:r>
      <w:r>
        <w:rPr>
          <w:bCs/>
        </w:rPr>
        <w:t xml:space="preserve">is used as surety, a third-party </w:t>
      </w:r>
      <w:r w:rsidR="003F7A8B">
        <w:rPr>
          <w:bCs/>
        </w:rPr>
        <w:t>custody</w:t>
      </w:r>
      <w:r>
        <w:rPr>
          <w:bCs/>
        </w:rPr>
        <w:t xml:space="preserve"> agent is not involved.</w:t>
      </w:r>
      <w:r w:rsidR="00AC0875">
        <w:rPr>
          <w:bCs/>
        </w:rPr>
        <w:t xml:space="preserve"> The typical “irrevocable standby letter of credit” issued by the FHLB lists the public entity as the “beneficiary.” Terms of the LOC include the stated amount and expiration date, and how the beneficiary may present the LOC for payment in the case of a default.</w:t>
      </w:r>
    </w:p>
    <w:p w:rsidR="00BE7037" w:rsidRDefault="00BE7037" w:rsidP="00142DDD">
      <w:pPr>
        <w:pStyle w:val="NoSpacing"/>
        <w:jc w:val="both"/>
        <w:rPr>
          <w:bCs/>
        </w:rPr>
      </w:pPr>
    </w:p>
    <w:p w:rsidR="00073810" w:rsidRDefault="00DB4F01" w:rsidP="009476BE">
      <w:pPr>
        <w:pStyle w:val="NoSpacing"/>
        <w:jc w:val="both"/>
        <w:rPr>
          <w:b/>
          <w:bCs/>
          <w:sz w:val="28"/>
          <w:szCs w:val="28"/>
        </w:rPr>
      </w:pPr>
      <w:r w:rsidRPr="00073810">
        <w:rPr>
          <w:b/>
          <w:bCs/>
          <w:sz w:val="28"/>
          <w:szCs w:val="28"/>
        </w:rPr>
        <w:t>Pledging / Substituting / Releasing Collateral</w:t>
      </w:r>
    </w:p>
    <w:p w:rsidR="00DB4F01" w:rsidRPr="00DB4F01" w:rsidRDefault="00DB4F01" w:rsidP="009476BE">
      <w:pPr>
        <w:pStyle w:val="NoSpacing"/>
        <w:jc w:val="both"/>
        <w:rPr>
          <w:bCs/>
        </w:rPr>
      </w:pPr>
      <w:r w:rsidRPr="00DB4F01">
        <w:rPr>
          <w:bCs/>
        </w:rPr>
        <w:t xml:space="preserve">For all </w:t>
      </w:r>
      <w:r w:rsidRPr="00DB4F01">
        <w:rPr>
          <w:bCs/>
          <w:u w:val="single"/>
        </w:rPr>
        <w:t>pledges</w:t>
      </w:r>
      <w:r w:rsidRPr="00395407">
        <w:rPr>
          <w:bCs/>
        </w:rPr>
        <w:t>,</w:t>
      </w:r>
      <w:r w:rsidRPr="00DB4F01">
        <w:rPr>
          <w:bCs/>
        </w:rPr>
        <w:t xml:space="preserve"> the </w:t>
      </w:r>
      <w:r w:rsidR="00DE49EC">
        <w:rPr>
          <w:bCs/>
        </w:rPr>
        <w:t>State Treasurer</w:t>
      </w:r>
      <w:r w:rsidRPr="00DB4F01">
        <w:rPr>
          <w:bCs/>
        </w:rPr>
        <w:t xml:space="preserve"> is to be provided a notice o</w:t>
      </w:r>
      <w:r w:rsidR="00105D5C">
        <w:rPr>
          <w:bCs/>
        </w:rPr>
        <w:t>f the securities being pledged, to include a complete description and current market value of the securities.</w:t>
      </w:r>
    </w:p>
    <w:p w:rsidR="00DB4F01" w:rsidRPr="00DB4F01" w:rsidRDefault="00DB4F01" w:rsidP="009476BE">
      <w:pPr>
        <w:pStyle w:val="NoSpacing"/>
        <w:jc w:val="both"/>
        <w:rPr>
          <w:bCs/>
        </w:rPr>
      </w:pPr>
    </w:p>
    <w:p w:rsidR="00DB4F01" w:rsidRPr="00DB4F01" w:rsidRDefault="00DB4F01" w:rsidP="009476BE">
      <w:pPr>
        <w:pStyle w:val="NoSpacing"/>
        <w:jc w:val="both"/>
        <w:rPr>
          <w:bCs/>
        </w:rPr>
      </w:pPr>
      <w:r w:rsidRPr="00DB4F01">
        <w:rPr>
          <w:bCs/>
        </w:rPr>
        <w:t xml:space="preserve">For all </w:t>
      </w:r>
      <w:r w:rsidRPr="00DB4F01">
        <w:rPr>
          <w:bCs/>
          <w:u w:val="single"/>
        </w:rPr>
        <w:t>substitutions</w:t>
      </w:r>
      <w:r w:rsidRPr="00DB4F01">
        <w:rPr>
          <w:bCs/>
        </w:rPr>
        <w:t>, the</w:t>
      </w:r>
      <w:r w:rsidR="008E2404">
        <w:rPr>
          <w:bCs/>
        </w:rPr>
        <w:t xml:space="preserve"> </w:t>
      </w:r>
      <w:r w:rsidR="00910144">
        <w:rPr>
          <w:bCs/>
        </w:rPr>
        <w:t>State Treasurer</w:t>
      </w:r>
      <w:r w:rsidRPr="00DB4F01">
        <w:rPr>
          <w:bCs/>
        </w:rPr>
        <w:t xml:space="preserve"> is to be provided a notice of the substitution. Such notice shall contain a complete description of the securities, the total dollar amount as of the day of the notice, and the CUSIP number. After receipt of said notice, the </w:t>
      </w:r>
      <w:r w:rsidR="00490114">
        <w:rPr>
          <w:bCs/>
        </w:rPr>
        <w:t xml:space="preserve">State </w:t>
      </w:r>
      <w:r w:rsidR="00910144">
        <w:rPr>
          <w:bCs/>
        </w:rPr>
        <w:t>Treasurer</w:t>
      </w:r>
      <w:r w:rsidRPr="00DB4F01">
        <w:rPr>
          <w:bCs/>
        </w:rPr>
        <w:t xml:space="preserve"> may object to the substitution, and may, in </w:t>
      </w:r>
      <w:r w:rsidRPr="000E4F76">
        <w:rPr>
          <w:bCs/>
        </w:rPr>
        <w:t>his</w:t>
      </w:r>
      <w:r w:rsidRPr="00DB4F01">
        <w:rPr>
          <w:bCs/>
        </w:rPr>
        <w:t xml:space="preserve"> sole discretion, require that the substitution be rescinded. In such event, the Qualified Public Depository agrees to withdraw the securities so substituted and to substitute for the same other securities acceptable to the State Treasurer. </w:t>
      </w:r>
    </w:p>
    <w:p w:rsidR="00DB4F01" w:rsidRPr="00DB4F01" w:rsidRDefault="00DB4F01" w:rsidP="009476BE">
      <w:pPr>
        <w:pStyle w:val="NoSpacing"/>
        <w:jc w:val="both"/>
        <w:rPr>
          <w:bCs/>
        </w:rPr>
      </w:pPr>
    </w:p>
    <w:p w:rsidR="00EF47E8" w:rsidRDefault="00DB4F01" w:rsidP="009476BE">
      <w:pPr>
        <w:pStyle w:val="NoSpacing"/>
        <w:jc w:val="both"/>
        <w:rPr>
          <w:bCs/>
        </w:rPr>
      </w:pPr>
      <w:r w:rsidRPr="00DB4F01">
        <w:rPr>
          <w:bCs/>
        </w:rPr>
        <w:lastRenderedPageBreak/>
        <w:t xml:space="preserve">For all </w:t>
      </w:r>
      <w:r w:rsidRPr="00DB4F01">
        <w:rPr>
          <w:bCs/>
          <w:u w:val="single"/>
        </w:rPr>
        <w:t>releases</w:t>
      </w:r>
      <w:r w:rsidRPr="00DB4F01">
        <w:rPr>
          <w:bCs/>
        </w:rPr>
        <w:t xml:space="preserve"> without substitution, the </w:t>
      </w:r>
      <w:r w:rsidR="007C0905">
        <w:rPr>
          <w:bCs/>
        </w:rPr>
        <w:t>requested securities to be released</w:t>
      </w:r>
      <w:r w:rsidRPr="00DB4F01">
        <w:rPr>
          <w:bCs/>
        </w:rPr>
        <w:t xml:space="preserve"> must first be approved by the </w:t>
      </w:r>
      <w:r w:rsidR="00DE49EC">
        <w:rPr>
          <w:bCs/>
        </w:rPr>
        <w:t>Banking Division</w:t>
      </w:r>
      <w:r w:rsidRPr="00DB4F01">
        <w:rPr>
          <w:bCs/>
        </w:rPr>
        <w:t xml:space="preserve">, </w:t>
      </w:r>
      <w:r w:rsidR="00105D5C">
        <w:rPr>
          <w:bCs/>
        </w:rPr>
        <w:t xml:space="preserve">after demonstrating that </w:t>
      </w:r>
      <w:r w:rsidR="007C0905">
        <w:rPr>
          <w:bCs/>
        </w:rPr>
        <w:t>the</w:t>
      </w:r>
      <w:r w:rsidR="00105D5C">
        <w:rPr>
          <w:bCs/>
        </w:rPr>
        <w:t xml:space="preserve"> required amount of </w:t>
      </w:r>
      <w:r w:rsidR="007C0905">
        <w:rPr>
          <w:bCs/>
        </w:rPr>
        <w:t>surety</w:t>
      </w:r>
      <w:r w:rsidR="00105D5C">
        <w:rPr>
          <w:bCs/>
        </w:rPr>
        <w:t xml:space="preserve"> </w:t>
      </w:r>
      <w:r w:rsidR="007C0905">
        <w:rPr>
          <w:bCs/>
        </w:rPr>
        <w:t xml:space="preserve">to protect uninsured deposits </w:t>
      </w:r>
      <w:r w:rsidR="00105D5C">
        <w:rPr>
          <w:bCs/>
        </w:rPr>
        <w:t xml:space="preserve">will </w:t>
      </w:r>
      <w:r w:rsidR="007C0905">
        <w:rPr>
          <w:bCs/>
        </w:rPr>
        <w:t xml:space="preserve">remain </w:t>
      </w:r>
      <w:r w:rsidR="00105D5C">
        <w:rPr>
          <w:bCs/>
        </w:rPr>
        <w:t>after the release.</w:t>
      </w:r>
      <w:r w:rsidR="007C0905" w:rsidRPr="007C0905">
        <w:rPr>
          <w:bCs/>
        </w:rPr>
        <w:t xml:space="preserve"> </w:t>
      </w:r>
      <w:r w:rsidR="007C0905">
        <w:rPr>
          <w:bCs/>
        </w:rPr>
        <w:t xml:space="preserve"> All types of eligible surety will be considered</w:t>
      </w:r>
      <w:r w:rsidR="00490114">
        <w:rPr>
          <w:bCs/>
        </w:rPr>
        <w:t xml:space="preserve"> when granting the approval</w:t>
      </w:r>
      <w:r w:rsidR="007C0905">
        <w:rPr>
          <w:bCs/>
        </w:rPr>
        <w:t xml:space="preserve"> (i.e., </w:t>
      </w:r>
      <w:r w:rsidR="00490114">
        <w:rPr>
          <w:bCs/>
        </w:rPr>
        <w:t>FDIC insurance</w:t>
      </w:r>
      <w:r w:rsidR="007C0905">
        <w:rPr>
          <w:bCs/>
        </w:rPr>
        <w:t xml:space="preserve"> and letters of credit).</w:t>
      </w:r>
      <w:r w:rsidR="00D60AB7">
        <w:rPr>
          <w:bCs/>
        </w:rPr>
        <w:t xml:space="preserve"> </w:t>
      </w:r>
    </w:p>
    <w:p w:rsidR="00737C0C" w:rsidRDefault="00737C0C" w:rsidP="009476BE">
      <w:pPr>
        <w:pStyle w:val="NoSpacing"/>
        <w:jc w:val="both"/>
        <w:rPr>
          <w:b/>
          <w:bCs/>
          <w:sz w:val="28"/>
          <w:szCs w:val="28"/>
        </w:rPr>
      </w:pPr>
    </w:p>
    <w:p w:rsidR="00846556" w:rsidRDefault="00846556" w:rsidP="009476BE">
      <w:pPr>
        <w:pStyle w:val="NoSpacing"/>
        <w:jc w:val="both"/>
        <w:rPr>
          <w:b/>
          <w:bCs/>
          <w:sz w:val="28"/>
          <w:szCs w:val="28"/>
        </w:rPr>
      </w:pPr>
      <w:r w:rsidRPr="00073810">
        <w:rPr>
          <w:b/>
          <w:bCs/>
          <w:sz w:val="28"/>
          <w:szCs w:val="28"/>
        </w:rPr>
        <w:t>Depository Reporting</w:t>
      </w:r>
      <w:r w:rsidR="00CA2EA4">
        <w:rPr>
          <w:b/>
          <w:bCs/>
          <w:sz w:val="28"/>
          <w:szCs w:val="28"/>
        </w:rPr>
        <w:t xml:space="preserve"> – State Treasurer Pledgee</w:t>
      </w:r>
    </w:p>
    <w:p w:rsidR="00846556" w:rsidRPr="00921DF3" w:rsidRDefault="00846556" w:rsidP="009476BE">
      <w:pPr>
        <w:pStyle w:val="NoSpacing"/>
        <w:jc w:val="both"/>
        <w:rPr>
          <w:bCs/>
        </w:rPr>
      </w:pPr>
      <w:r>
        <w:rPr>
          <w:bCs/>
        </w:rPr>
        <w:t xml:space="preserve">The depository bank is required to provide the </w:t>
      </w:r>
      <w:r w:rsidR="00910144">
        <w:rPr>
          <w:bCs/>
        </w:rPr>
        <w:t>State Treasurer</w:t>
      </w:r>
      <w:r>
        <w:rPr>
          <w:bCs/>
        </w:rPr>
        <w:t xml:space="preserve"> periodic reporting to demonstrate that all </w:t>
      </w:r>
      <w:r w:rsidR="00395407">
        <w:rPr>
          <w:bCs/>
        </w:rPr>
        <w:t>deposits</w:t>
      </w:r>
      <w:r>
        <w:rPr>
          <w:bCs/>
        </w:rPr>
        <w:t xml:space="preserve"> are adequately </w:t>
      </w:r>
      <w:r w:rsidR="00876D63">
        <w:rPr>
          <w:bCs/>
        </w:rPr>
        <w:t>secured</w:t>
      </w:r>
      <w:r>
        <w:rPr>
          <w:bCs/>
        </w:rPr>
        <w:t xml:space="preserve">. </w:t>
      </w:r>
      <w:r w:rsidR="00910144">
        <w:rPr>
          <w:bCs/>
        </w:rPr>
        <w:t xml:space="preserve"> All reporting is to be made to the Banking Division. </w:t>
      </w:r>
      <w:r>
        <w:rPr>
          <w:bCs/>
        </w:rPr>
        <w:t xml:space="preserve">The reporting for deposits of the State Treasurer collateralized under the Dedicated Method is different than the reporting of local </w:t>
      </w:r>
      <w:r w:rsidR="00910144">
        <w:rPr>
          <w:bCs/>
        </w:rPr>
        <w:t xml:space="preserve">entities’ </w:t>
      </w:r>
      <w:r>
        <w:rPr>
          <w:bCs/>
        </w:rPr>
        <w:t>deposits collateralized under the Pooling Method, in respect to the frequency of reporting.</w:t>
      </w:r>
    </w:p>
    <w:p w:rsidR="00846556" w:rsidRPr="0002362E" w:rsidRDefault="00846556" w:rsidP="009476BE">
      <w:pPr>
        <w:pStyle w:val="NoSpacing"/>
        <w:jc w:val="both"/>
      </w:pPr>
    </w:p>
    <w:p w:rsidR="00846556" w:rsidRPr="00F76A05" w:rsidRDefault="00846556" w:rsidP="009476BE">
      <w:pPr>
        <w:pStyle w:val="NoSpacing"/>
        <w:jc w:val="both"/>
        <w:rPr>
          <w:u w:val="single"/>
        </w:rPr>
      </w:pPr>
      <w:r w:rsidRPr="00F76A05">
        <w:rPr>
          <w:u w:val="single"/>
        </w:rPr>
        <w:t>State Treasurer Deposits</w:t>
      </w:r>
      <w:r w:rsidR="004E1BE5">
        <w:rPr>
          <w:u w:val="single"/>
        </w:rPr>
        <w:t xml:space="preserve"> - Under the Dedicated Method</w:t>
      </w:r>
    </w:p>
    <w:p w:rsidR="00846556" w:rsidRDefault="004E1BE5" w:rsidP="009476BE">
      <w:pPr>
        <w:pStyle w:val="NoSpacing"/>
        <w:jc w:val="both"/>
      </w:pPr>
      <w:r>
        <w:t xml:space="preserve">On a </w:t>
      </w:r>
      <w:r w:rsidR="00017182">
        <w:t>quarterly basis, the depository bank</w:t>
      </w:r>
      <w:r w:rsidR="00846556" w:rsidRPr="00F76A05">
        <w:t xml:space="preserve"> </w:t>
      </w:r>
      <w:r w:rsidR="00822995">
        <w:t>must</w:t>
      </w:r>
      <w:r w:rsidR="00846556" w:rsidRPr="00F76A05">
        <w:t xml:space="preserve"> furnish the </w:t>
      </w:r>
      <w:r w:rsidR="00910144">
        <w:t>State Treasurer</w:t>
      </w:r>
      <w:r w:rsidR="00846556" w:rsidRPr="00F76A05">
        <w:t xml:space="preserve"> a report supporting the </w:t>
      </w:r>
      <w:r w:rsidR="00017182">
        <w:t>bank’s</w:t>
      </w:r>
      <w:r w:rsidR="00846556" w:rsidRPr="00F76A05">
        <w:t xml:space="preserve"> calculations of the amount of collateral securities required to be pledged. The quarterly report </w:t>
      </w:r>
      <w:r w:rsidR="00822995">
        <w:t>must</w:t>
      </w:r>
      <w:r w:rsidR="00846556" w:rsidRPr="00F76A05">
        <w:t xml:space="preserve"> include: the amount of deposits subject to collateralization, by type (time and savings accounts combined, and demand deposits accounts); the applicable amount of FDIC insurance; the amount of any surety bonds or letters of credit, if any, used as surety; the amount of deposits required to be secured by Pledged Securities; the market value of the Pledged Securities; and the excess or deficit amount of Pledged Securities.</w:t>
      </w:r>
    </w:p>
    <w:p w:rsidR="00846556" w:rsidRDefault="00846556" w:rsidP="009476BE">
      <w:pPr>
        <w:pStyle w:val="NoSpacing"/>
        <w:jc w:val="both"/>
      </w:pPr>
    </w:p>
    <w:p w:rsidR="00846556" w:rsidRPr="000E7C15" w:rsidRDefault="00017182" w:rsidP="009476BE">
      <w:pPr>
        <w:autoSpaceDE w:val="0"/>
        <w:autoSpaceDN w:val="0"/>
        <w:adjustRightInd w:val="0"/>
        <w:spacing w:after="0" w:line="240" w:lineRule="auto"/>
        <w:jc w:val="both"/>
        <w:rPr>
          <w:rFonts w:eastAsia="Calibri" w:cs="Times New Roman"/>
        </w:rPr>
      </w:pPr>
      <w:r>
        <w:rPr>
          <w:rFonts w:eastAsia="Calibri" w:cs="Times New Roman"/>
        </w:rPr>
        <w:t>On a monthly basis, or as may be requested, the depository bank</w:t>
      </w:r>
      <w:r w:rsidR="00846556" w:rsidRPr="000E7C15">
        <w:rPr>
          <w:rFonts w:eastAsia="Calibri" w:cs="Times New Roman"/>
        </w:rPr>
        <w:t xml:space="preserve"> </w:t>
      </w:r>
      <w:r w:rsidR="00822995">
        <w:rPr>
          <w:rFonts w:eastAsia="Calibri" w:cs="Times New Roman"/>
        </w:rPr>
        <w:t>must</w:t>
      </w:r>
      <w:r w:rsidR="00846556" w:rsidRPr="000E7C15">
        <w:rPr>
          <w:rFonts w:eastAsia="Calibri" w:cs="Times New Roman"/>
        </w:rPr>
        <w:t xml:space="preserve"> furnish the </w:t>
      </w:r>
      <w:r w:rsidR="00490114">
        <w:rPr>
          <w:rFonts w:eastAsia="Calibri" w:cs="Times New Roman"/>
        </w:rPr>
        <w:t>State Treasurer</w:t>
      </w:r>
      <w:r w:rsidR="00846556" w:rsidRPr="000E7C15">
        <w:rPr>
          <w:rFonts w:eastAsia="Calibri" w:cs="Times New Roman"/>
          <w:color w:val="000000"/>
        </w:rPr>
        <w:t xml:space="preserve"> statements designating the Pledged Securities, along with the </w:t>
      </w:r>
      <w:r>
        <w:rPr>
          <w:rFonts w:eastAsia="Calibri" w:cs="Times New Roman"/>
          <w:color w:val="000000"/>
        </w:rPr>
        <w:t>bank’s</w:t>
      </w:r>
      <w:r w:rsidR="00846556" w:rsidRPr="000E7C15">
        <w:rPr>
          <w:rFonts w:eastAsia="Calibri" w:cs="Times New Roman"/>
          <w:color w:val="000000"/>
        </w:rPr>
        <w:t xml:space="preserve"> assigned market value of the securities. </w:t>
      </w:r>
      <w:r w:rsidR="00846556" w:rsidRPr="000E7C15">
        <w:rPr>
          <w:rFonts w:eastAsia="Calibri" w:cs="Times New Roman"/>
        </w:rPr>
        <w:t xml:space="preserve"> </w:t>
      </w:r>
    </w:p>
    <w:p w:rsidR="00846556" w:rsidRPr="00F76A05" w:rsidRDefault="00846556" w:rsidP="009476BE">
      <w:pPr>
        <w:pStyle w:val="NoSpacing"/>
        <w:jc w:val="both"/>
      </w:pPr>
    </w:p>
    <w:p w:rsidR="00846556" w:rsidRPr="00F76A05" w:rsidRDefault="00846556" w:rsidP="009476BE">
      <w:pPr>
        <w:pStyle w:val="NoSpacing"/>
        <w:jc w:val="both"/>
        <w:rPr>
          <w:u w:val="single"/>
        </w:rPr>
      </w:pPr>
      <w:r>
        <w:rPr>
          <w:u w:val="single"/>
        </w:rPr>
        <w:t xml:space="preserve">Local </w:t>
      </w:r>
      <w:r w:rsidR="001A34F7">
        <w:rPr>
          <w:u w:val="single"/>
        </w:rPr>
        <w:t>Entities</w:t>
      </w:r>
      <w:r>
        <w:rPr>
          <w:u w:val="single"/>
        </w:rPr>
        <w:t>’</w:t>
      </w:r>
      <w:r w:rsidRPr="00F76A05">
        <w:rPr>
          <w:u w:val="single"/>
        </w:rPr>
        <w:t xml:space="preserve"> Deposits</w:t>
      </w:r>
      <w:r w:rsidR="004E1BE5">
        <w:rPr>
          <w:u w:val="single"/>
        </w:rPr>
        <w:t xml:space="preserve"> – Under the Pooling Method</w:t>
      </w:r>
    </w:p>
    <w:p w:rsidR="00846556" w:rsidRDefault="00017182" w:rsidP="009476BE">
      <w:pPr>
        <w:pStyle w:val="NoSpacing"/>
        <w:jc w:val="both"/>
      </w:pPr>
      <w:r>
        <w:t>On a weekly basis, the depository bank</w:t>
      </w:r>
      <w:r w:rsidR="00846556" w:rsidRPr="00921DF3">
        <w:t xml:space="preserve"> </w:t>
      </w:r>
      <w:r w:rsidR="00822995">
        <w:t>must</w:t>
      </w:r>
      <w:r w:rsidR="00822995" w:rsidRPr="00921DF3">
        <w:t xml:space="preserve"> </w:t>
      </w:r>
      <w:r w:rsidR="00846556" w:rsidRPr="00921DF3">
        <w:t xml:space="preserve">furnish the </w:t>
      </w:r>
      <w:r>
        <w:t xml:space="preserve">State Treasurer </w:t>
      </w:r>
      <w:r w:rsidR="00846556" w:rsidRPr="00921DF3">
        <w:t xml:space="preserve">a report supporting the </w:t>
      </w:r>
      <w:r>
        <w:t>bank’s</w:t>
      </w:r>
      <w:r w:rsidR="00846556" w:rsidRPr="00921DF3">
        <w:t xml:space="preserve"> calculations of the amount of collateral securities required to be pledged</w:t>
      </w:r>
      <w:r w:rsidR="00846556">
        <w:t xml:space="preserve"> for each </w:t>
      </w:r>
      <w:r>
        <w:t>local entity</w:t>
      </w:r>
      <w:r w:rsidR="00846556">
        <w:t xml:space="preserve">. </w:t>
      </w:r>
      <w:r w:rsidR="00AD41D0">
        <w:t>T</w:t>
      </w:r>
      <w:r w:rsidR="00846556">
        <w:t>he weekly report</w:t>
      </w:r>
      <w:r w:rsidR="00AD41D0">
        <w:t>s</w:t>
      </w:r>
      <w:r w:rsidR="00846556">
        <w:t xml:space="preserve"> </w:t>
      </w:r>
      <w:r w:rsidR="00AD41D0">
        <w:t xml:space="preserve">are </w:t>
      </w:r>
      <w:r w:rsidR="00846556">
        <w:t xml:space="preserve">due each Wednesday, based upon the closing balances of the previous banking day. </w:t>
      </w:r>
      <w:r w:rsidR="00AD41D0">
        <w:t xml:space="preserve">In addition, a month-end report is to be prepared, and provided on the first business day of each month. </w:t>
      </w:r>
      <w:r w:rsidR="00846556" w:rsidRPr="00921DF3">
        <w:t>report</w:t>
      </w:r>
      <w:r w:rsidR="00AD41D0">
        <w:t>s</w:t>
      </w:r>
      <w:r w:rsidR="00846556" w:rsidRPr="00921DF3">
        <w:t xml:space="preserve"> </w:t>
      </w:r>
      <w:r w:rsidR="00822995">
        <w:t>must</w:t>
      </w:r>
      <w:r w:rsidR="00846556" w:rsidRPr="00921DF3">
        <w:t xml:space="preserve"> include: the amount of deposits subject to collateralization, by type (time and savings accounts combined, and demand deposits accounts); the applicable amount of FDIC insurance; the amount of any surety bonds or letters of credit, if any, used as surety; the amount of deposits required to be secured by Pledged Securities; the market value of the Pledged Securities; and the excess or deficit amount of Pledged Securities.</w:t>
      </w:r>
    </w:p>
    <w:p w:rsidR="00846556" w:rsidRDefault="00846556" w:rsidP="009476BE">
      <w:pPr>
        <w:pStyle w:val="NoSpacing"/>
        <w:jc w:val="both"/>
      </w:pPr>
    </w:p>
    <w:p w:rsidR="00846556" w:rsidRDefault="00822995" w:rsidP="009476BE">
      <w:pPr>
        <w:pStyle w:val="NoSpacing"/>
        <w:jc w:val="both"/>
      </w:pPr>
      <w:r>
        <w:t>On a weekly basis, the depository bank</w:t>
      </w:r>
      <w:r w:rsidR="00846556" w:rsidRPr="000E7C15">
        <w:t xml:space="preserve"> </w:t>
      </w:r>
      <w:r>
        <w:t>must</w:t>
      </w:r>
      <w:r w:rsidR="00846556" w:rsidRPr="000E7C15">
        <w:t xml:space="preserve"> furnish the </w:t>
      </w:r>
      <w:r>
        <w:t>State Treasurer</w:t>
      </w:r>
      <w:r w:rsidR="00846556" w:rsidRPr="000E7C15">
        <w:t xml:space="preserve"> statements designating the Pledged Securities, along with the </w:t>
      </w:r>
      <w:r>
        <w:t>bank’s</w:t>
      </w:r>
      <w:r w:rsidR="00846556" w:rsidRPr="000E7C15">
        <w:t xml:space="preserve"> assigned market value of the securities.  </w:t>
      </w:r>
      <w:r w:rsidR="00571766">
        <w:t>T</w:t>
      </w:r>
      <w:r w:rsidR="00571766" w:rsidRPr="000E7C15">
        <w:t>he reports</w:t>
      </w:r>
      <w:r w:rsidR="00846556" w:rsidRPr="000E7C15">
        <w:t xml:space="preserve"> </w:t>
      </w:r>
      <w:r>
        <w:t>are</w:t>
      </w:r>
      <w:r w:rsidR="00846556" w:rsidRPr="000E7C15">
        <w:t xml:space="preserve"> due each Wednesday, indicating the securities pledged with the Custody Agent as of the close of the previous banking day.  </w:t>
      </w:r>
      <w:r w:rsidR="00AD41D0" w:rsidRPr="00AD41D0">
        <w:t xml:space="preserve">In addition, a month-end </w:t>
      </w:r>
      <w:r w:rsidR="00AD41D0">
        <w:t>state</w:t>
      </w:r>
      <w:r w:rsidR="00086F81">
        <w:t>m</w:t>
      </w:r>
      <w:r w:rsidR="00AD41D0">
        <w:t>e</w:t>
      </w:r>
      <w:r w:rsidR="00086F81">
        <w:t>n</w:t>
      </w:r>
      <w:r w:rsidR="00AD41D0">
        <w:t>t</w:t>
      </w:r>
      <w:r w:rsidR="00AD41D0" w:rsidRPr="00AD41D0">
        <w:t xml:space="preserve"> is to be prepared, and provided on the first business day of each month.</w:t>
      </w:r>
    </w:p>
    <w:p w:rsidR="009822BE" w:rsidRDefault="009822BE" w:rsidP="009476BE">
      <w:pPr>
        <w:pStyle w:val="NoSpacing"/>
        <w:jc w:val="both"/>
      </w:pPr>
    </w:p>
    <w:p w:rsidR="000E4F76" w:rsidRDefault="009822BE" w:rsidP="009476BE">
      <w:pPr>
        <w:pStyle w:val="NoSpacing"/>
        <w:jc w:val="both"/>
      </w:pPr>
      <w:r>
        <w:t>The following information is to be provided to the Banking Division of the Office of the State Treasurer each Wednesday and the first business day of the month</w:t>
      </w:r>
      <w:r w:rsidR="000E4F76">
        <w:t>.</w:t>
      </w:r>
    </w:p>
    <w:p w:rsidR="000E4F76" w:rsidRDefault="000E4F76" w:rsidP="009476BE">
      <w:pPr>
        <w:pStyle w:val="NoSpacing"/>
        <w:jc w:val="both"/>
      </w:pPr>
    </w:p>
    <w:p w:rsidR="000E4F76" w:rsidRDefault="000E4F76" w:rsidP="009476BE">
      <w:pPr>
        <w:pStyle w:val="NoSpacing"/>
        <w:jc w:val="both"/>
      </w:pPr>
    </w:p>
    <w:p w:rsidR="009822BE" w:rsidRDefault="000E4F76" w:rsidP="009476BE">
      <w:pPr>
        <w:pStyle w:val="NoSpacing"/>
        <w:jc w:val="both"/>
      </w:pPr>
      <w:r>
        <w:lastRenderedPageBreak/>
        <w:t xml:space="preserve">Click on the excel workbook picture below to complete the required weekly collateral information to be provided to the treasurer’s office. </w:t>
      </w:r>
    </w:p>
    <w:p w:rsidR="00EA5A9B" w:rsidRPr="000E7C15" w:rsidRDefault="00D36C42" w:rsidP="009476BE">
      <w:pPr>
        <w:pStyle w:val="NoSpacing"/>
        <w:jc w:val="both"/>
      </w:pPr>
      <w:r>
        <w:object w:dxaOrig="11010" w:dyaOrig="9135">
          <v:shape id="_x0000_i1027" type="#_x0000_t75" style="width:276.75pt;height:230.25pt" o:ole="">
            <v:imagedata r:id="rId9" o:title=""/>
          </v:shape>
          <o:OLEObject Type="Link" ProgID="Excel.Sheet.12" ShapeID="_x0000_i1027" DrawAspect="Content" r:id="rId10" UpdateMode="Always">
            <o:LinkType>EnhancedMetaFile</o:LinkType>
            <o:LockedField>false</o:LockedField>
            <o:FieldCodes>\f 0</o:FieldCodes>
          </o:OLEObject>
        </w:object>
      </w:r>
    </w:p>
    <w:p w:rsidR="00846556" w:rsidRDefault="00846556" w:rsidP="009476BE">
      <w:pPr>
        <w:pStyle w:val="NoSpacing"/>
        <w:jc w:val="both"/>
        <w:rPr>
          <w:b/>
          <w:bCs/>
          <w:sz w:val="28"/>
          <w:szCs w:val="28"/>
        </w:rPr>
      </w:pPr>
    </w:p>
    <w:p w:rsidR="00D0591A" w:rsidRPr="00CD7469" w:rsidRDefault="00D0591A" w:rsidP="009476BE">
      <w:pPr>
        <w:pStyle w:val="NoSpacing"/>
        <w:jc w:val="both"/>
        <w:rPr>
          <w:bCs/>
          <w:u w:val="single"/>
        </w:rPr>
      </w:pPr>
      <w:r w:rsidRPr="00CD7469">
        <w:rPr>
          <w:bCs/>
          <w:u w:val="single"/>
        </w:rPr>
        <w:t xml:space="preserve">Selected Financial </w:t>
      </w:r>
      <w:r w:rsidR="00CD7469" w:rsidRPr="00CD7469">
        <w:rPr>
          <w:bCs/>
          <w:u w:val="single"/>
        </w:rPr>
        <w:t xml:space="preserve">Data </w:t>
      </w:r>
      <w:r w:rsidRPr="00CD7469">
        <w:rPr>
          <w:bCs/>
          <w:u w:val="single"/>
        </w:rPr>
        <w:t>Reporting</w:t>
      </w:r>
    </w:p>
    <w:p w:rsidR="00CB6B63" w:rsidRDefault="00CD7469" w:rsidP="009476BE">
      <w:pPr>
        <w:pStyle w:val="NoSpacing"/>
        <w:jc w:val="both"/>
        <w:rPr>
          <w:bCs/>
        </w:rPr>
      </w:pPr>
      <w:r>
        <w:rPr>
          <w:bCs/>
        </w:rPr>
        <w:t xml:space="preserve">Each </w:t>
      </w:r>
      <w:r w:rsidR="00D0591A">
        <w:rPr>
          <w:bCs/>
        </w:rPr>
        <w:t>Qualified public depositor</w:t>
      </w:r>
      <w:r>
        <w:rPr>
          <w:bCs/>
        </w:rPr>
        <w:t>y</w:t>
      </w:r>
      <w:r w:rsidR="00D0591A">
        <w:rPr>
          <w:bCs/>
        </w:rPr>
        <w:t xml:space="preserve"> having public funds for which the State Treasurer is custodian </w:t>
      </w:r>
      <w:r>
        <w:rPr>
          <w:bCs/>
        </w:rPr>
        <w:t>is</w:t>
      </w:r>
      <w:r w:rsidR="00D0591A">
        <w:rPr>
          <w:bCs/>
        </w:rPr>
        <w:t xml:space="preserve"> required to submit a report quarterly </w:t>
      </w:r>
      <w:r>
        <w:rPr>
          <w:bCs/>
        </w:rPr>
        <w:t>that contains selected financial data from the depository’s call report provided to the Federal Financial Institutions Council</w:t>
      </w:r>
      <w:r w:rsidR="00086F81">
        <w:rPr>
          <w:bCs/>
        </w:rPr>
        <w:t xml:space="preserve"> (FFIC)</w:t>
      </w:r>
      <w:r>
        <w:rPr>
          <w:bCs/>
        </w:rPr>
        <w:t>. The report is due 30 days following the end of each calendar quarter.</w:t>
      </w:r>
      <w:r w:rsidR="00CA2EA4">
        <w:rPr>
          <w:bCs/>
        </w:rPr>
        <w:t xml:space="preserve">  </w:t>
      </w:r>
      <w:r w:rsidR="00303B59">
        <w:rPr>
          <w:bCs/>
        </w:rPr>
        <w:t>Click on the link below to access the report template.</w:t>
      </w:r>
    </w:p>
    <w:p w:rsidR="00CB6B63" w:rsidRDefault="00CB6B63" w:rsidP="009476BE">
      <w:pPr>
        <w:pStyle w:val="NoSpacing"/>
        <w:jc w:val="both"/>
        <w:rPr>
          <w:bCs/>
        </w:rPr>
      </w:pPr>
    </w:p>
    <w:p w:rsidR="00965EDF" w:rsidRDefault="00D36C42" w:rsidP="009476BE">
      <w:pPr>
        <w:pStyle w:val="NoSpacing"/>
        <w:jc w:val="both"/>
        <w:rPr>
          <w:b/>
          <w:bCs/>
          <w:sz w:val="28"/>
          <w:szCs w:val="28"/>
        </w:rPr>
      </w:pPr>
      <w:r>
        <w:rPr>
          <w:b/>
          <w:bCs/>
          <w:sz w:val="28"/>
          <w:szCs w:val="28"/>
        </w:rPr>
        <w:object w:dxaOrig="18708" w:dyaOrig="13588">
          <v:shape id="_x0000_i1028" type="#_x0000_t75" style="width:266.25pt;height:94.5pt" o:ole="">
            <v:imagedata r:id="rId11" o:title=""/>
          </v:shape>
          <o:OLEObject Type="Link" ProgID="Excel.Sheet.12" ShapeID="_x0000_i1028" DrawAspect="Content" r:id="rId12" UpdateMode="Always">
            <o:LinkType>EnhancedMetaFile</o:LinkType>
            <o:LockedField>false</o:LockedField>
            <o:FieldCodes>\f 0</o:FieldCodes>
          </o:OLEObject>
        </w:object>
      </w:r>
    </w:p>
    <w:p w:rsidR="00965EDF" w:rsidRDefault="00965EDF" w:rsidP="009476BE">
      <w:pPr>
        <w:pStyle w:val="NoSpacing"/>
        <w:jc w:val="both"/>
        <w:rPr>
          <w:b/>
          <w:bCs/>
          <w:sz w:val="28"/>
          <w:szCs w:val="28"/>
        </w:rPr>
      </w:pPr>
    </w:p>
    <w:p w:rsidR="00142DDD" w:rsidRPr="00073810" w:rsidRDefault="00142DDD" w:rsidP="009476BE">
      <w:pPr>
        <w:pStyle w:val="NoSpacing"/>
        <w:jc w:val="both"/>
        <w:rPr>
          <w:b/>
          <w:bCs/>
          <w:sz w:val="28"/>
          <w:szCs w:val="28"/>
        </w:rPr>
      </w:pPr>
      <w:r w:rsidRPr="00073810">
        <w:rPr>
          <w:b/>
          <w:bCs/>
          <w:sz w:val="28"/>
          <w:szCs w:val="28"/>
        </w:rPr>
        <w:t>Monitoring</w:t>
      </w:r>
    </w:p>
    <w:p w:rsidR="00142DDD" w:rsidRPr="00142DDD" w:rsidRDefault="00142DDD" w:rsidP="009476BE">
      <w:pPr>
        <w:pStyle w:val="NoSpacing"/>
        <w:jc w:val="both"/>
        <w:rPr>
          <w:bCs/>
        </w:rPr>
      </w:pPr>
      <w:r w:rsidRPr="00142DDD">
        <w:rPr>
          <w:bCs/>
        </w:rPr>
        <w:t xml:space="preserve">The </w:t>
      </w:r>
      <w:r w:rsidR="00A2705F">
        <w:rPr>
          <w:bCs/>
        </w:rPr>
        <w:t xml:space="preserve">Banking Division within the </w:t>
      </w:r>
      <w:r w:rsidR="009822BE">
        <w:rPr>
          <w:bCs/>
        </w:rPr>
        <w:t xml:space="preserve">Office of </w:t>
      </w:r>
      <w:r w:rsidRPr="00142DDD">
        <w:rPr>
          <w:bCs/>
        </w:rPr>
        <w:t xml:space="preserve">State Treasurer monitors the collateralization process </w:t>
      </w:r>
      <w:r w:rsidR="00A663DF">
        <w:rPr>
          <w:bCs/>
        </w:rPr>
        <w:t xml:space="preserve">of </w:t>
      </w:r>
      <w:r w:rsidR="00105D5C">
        <w:rPr>
          <w:bCs/>
        </w:rPr>
        <w:t>each depository</w:t>
      </w:r>
      <w:r w:rsidR="00A663DF">
        <w:rPr>
          <w:bCs/>
        </w:rPr>
        <w:t xml:space="preserve"> bank </w:t>
      </w:r>
      <w:r w:rsidR="006E22B9">
        <w:rPr>
          <w:bCs/>
        </w:rPr>
        <w:t>for</w:t>
      </w:r>
      <w:r w:rsidRPr="00142DDD">
        <w:rPr>
          <w:bCs/>
        </w:rPr>
        <w:t xml:space="preserve"> securities pledged</w:t>
      </w:r>
      <w:r w:rsidR="00B346EF">
        <w:rPr>
          <w:bCs/>
        </w:rPr>
        <w:t xml:space="preserve"> </w:t>
      </w:r>
      <w:r w:rsidR="00105D5C">
        <w:rPr>
          <w:bCs/>
        </w:rPr>
        <w:t xml:space="preserve">to the State Treasurer as pledgee </w:t>
      </w:r>
      <w:r w:rsidR="00B346EF">
        <w:rPr>
          <w:bCs/>
        </w:rPr>
        <w:t>under the</w:t>
      </w:r>
      <w:r w:rsidRPr="00142DDD">
        <w:rPr>
          <w:bCs/>
        </w:rPr>
        <w:t>:</w:t>
      </w:r>
    </w:p>
    <w:p w:rsidR="00142DDD" w:rsidRPr="00142DDD" w:rsidRDefault="00142DDD" w:rsidP="009476BE">
      <w:pPr>
        <w:pStyle w:val="NoSpacing"/>
        <w:numPr>
          <w:ilvl w:val="0"/>
          <w:numId w:val="2"/>
        </w:numPr>
        <w:jc w:val="both"/>
        <w:rPr>
          <w:bCs/>
        </w:rPr>
      </w:pPr>
      <w:r w:rsidRPr="00142DDD">
        <w:rPr>
          <w:bCs/>
        </w:rPr>
        <w:t>Ded</w:t>
      </w:r>
      <w:r w:rsidR="00EF47E8">
        <w:rPr>
          <w:bCs/>
        </w:rPr>
        <w:t xml:space="preserve">icated </w:t>
      </w:r>
      <w:r w:rsidR="00571766">
        <w:rPr>
          <w:bCs/>
        </w:rPr>
        <w:t>Method -</w:t>
      </w:r>
      <w:r w:rsidR="00B346EF">
        <w:rPr>
          <w:bCs/>
        </w:rPr>
        <w:t xml:space="preserve"> F</w:t>
      </w:r>
      <w:r w:rsidR="00EF47E8">
        <w:rPr>
          <w:bCs/>
        </w:rPr>
        <w:t xml:space="preserve">or </w:t>
      </w:r>
      <w:r w:rsidR="00B346EF">
        <w:rPr>
          <w:bCs/>
        </w:rPr>
        <w:t xml:space="preserve">deposits of </w:t>
      </w:r>
      <w:r w:rsidR="00EF47E8">
        <w:rPr>
          <w:bCs/>
        </w:rPr>
        <w:t>the State Treasurer</w:t>
      </w:r>
      <w:r w:rsidR="00987433">
        <w:rPr>
          <w:bCs/>
        </w:rPr>
        <w:t xml:space="preserve"> only</w:t>
      </w:r>
    </w:p>
    <w:p w:rsidR="00142DDD" w:rsidRDefault="00142DDD" w:rsidP="009476BE">
      <w:pPr>
        <w:pStyle w:val="NoSpacing"/>
        <w:numPr>
          <w:ilvl w:val="0"/>
          <w:numId w:val="2"/>
        </w:numPr>
        <w:jc w:val="both"/>
        <w:rPr>
          <w:bCs/>
        </w:rPr>
      </w:pPr>
      <w:r w:rsidRPr="00142DDD">
        <w:rPr>
          <w:bCs/>
        </w:rPr>
        <w:t xml:space="preserve">Pooling </w:t>
      </w:r>
      <w:r w:rsidR="00571766" w:rsidRPr="00142DDD">
        <w:rPr>
          <w:bCs/>
        </w:rPr>
        <w:t xml:space="preserve">Method </w:t>
      </w:r>
      <w:r w:rsidR="00571766">
        <w:rPr>
          <w:bCs/>
        </w:rPr>
        <w:t>-</w:t>
      </w:r>
      <w:r w:rsidR="00B346EF">
        <w:rPr>
          <w:bCs/>
        </w:rPr>
        <w:t xml:space="preserve"> F</w:t>
      </w:r>
      <w:r w:rsidRPr="00142DDD">
        <w:rPr>
          <w:bCs/>
        </w:rPr>
        <w:t xml:space="preserve">or </w:t>
      </w:r>
      <w:r w:rsidR="00B346EF">
        <w:rPr>
          <w:bCs/>
        </w:rPr>
        <w:t xml:space="preserve">deposits of the participating </w:t>
      </w:r>
      <w:r w:rsidR="00987433">
        <w:rPr>
          <w:bCs/>
        </w:rPr>
        <w:t xml:space="preserve">local </w:t>
      </w:r>
      <w:r w:rsidR="000F5A9B">
        <w:rPr>
          <w:bCs/>
        </w:rPr>
        <w:t>entities</w:t>
      </w:r>
    </w:p>
    <w:p w:rsidR="00A663DF" w:rsidRDefault="00A663DF" w:rsidP="009476BE">
      <w:pPr>
        <w:pStyle w:val="NoSpacing"/>
        <w:jc w:val="both"/>
        <w:rPr>
          <w:bCs/>
        </w:rPr>
      </w:pPr>
    </w:p>
    <w:p w:rsidR="00A663DF" w:rsidRDefault="00A663DF" w:rsidP="009476BE">
      <w:pPr>
        <w:pStyle w:val="NoSpacing"/>
        <w:jc w:val="both"/>
        <w:rPr>
          <w:bCs/>
        </w:rPr>
      </w:pPr>
      <w:r>
        <w:rPr>
          <w:bCs/>
        </w:rPr>
        <w:t>The finance officer (custodian) of each local entity</w:t>
      </w:r>
      <w:r w:rsidR="001A34F7">
        <w:rPr>
          <w:bCs/>
        </w:rPr>
        <w:t xml:space="preserve"> is responsible for </w:t>
      </w:r>
      <w:r>
        <w:rPr>
          <w:bCs/>
        </w:rPr>
        <w:t>monitor</w:t>
      </w:r>
      <w:r w:rsidR="001A34F7">
        <w:rPr>
          <w:bCs/>
        </w:rPr>
        <w:t>ing</w:t>
      </w:r>
      <w:r>
        <w:rPr>
          <w:bCs/>
        </w:rPr>
        <w:t xml:space="preserve"> the collateralization process o</w:t>
      </w:r>
      <w:r w:rsidR="00105D5C">
        <w:rPr>
          <w:bCs/>
        </w:rPr>
        <w:t>f any depository bank for securities pledged to the local entity under the Dedicated Method.</w:t>
      </w:r>
    </w:p>
    <w:p w:rsidR="00105D5C" w:rsidRDefault="00105D5C" w:rsidP="009476BE">
      <w:pPr>
        <w:pStyle w:val="NoSpacing"/>
        <w:jc w:val="both"/>
        <w:rPr>
          <w:bCs/>
        </w:rPr>
      </w:pPr>
    </w:p>
    <w:p w:rsidR="00846556" w:rsidRDefault="00073810" w:rsidP="009476BE">
      <w:pPr>
        <w:pStyle w:val="NoSpacing"/>
        <w:jc w:val="both"/>
        <w:rPr>
          <w:bCs/>
        </w:rPr>
      </w:pPr>
      <w:r>
        <w:rPr>
          <w:bCs/>
        </w:rPr>
        <w:t>T</w:t>
      </w:r>
      <w:r w:rsidR="00142DDD" w:rsidRPr="00142DDD">
        <w:rPr>
          <w:bCs/>
        </w:rPr>
        <w:t xml:space="preserve">he </w:t>
      </w:r>
      <w:r w:rsidR="00A2705F">
        <w:rPr>
          <w:bCs/>
        </w:rPr>
        <w:t>Banking Division</w:t>
      </w:r>
      <w:r w:rsidR="00142DDD" w:rsidRPr="00142DDD">
        <w:rPr>
          <w:bCs/>
        </w:rPr>
        <w:t xml:space="preserve"> maintains an accounting of the </w:t>
      </w:r>
      <w:r w:rsidR="00D60AB7">
        <w:rPr>
          <w:bCs/>
        </w:rPr>
        <w:t xml:space="preserve">collateral </w:t>
      </w:r>
      <w:r w:rsidR="00142DDD" w:rsidRPr="00142DDD">
        <w:rPr>
          <w:bCs/>
        </w:rPr>
        <w:t>securities</w:t>
      </w:r>
      <w:r w:rsidR="00D60AB7">
        <w:rPr>
          <w:bCs/>
        </w:rPr>
        <w:t xml:space="preserve"> pledged to the State Treasurer as pledgee</w:t>
      </w:r>
      <w:r>
        <w:rPr>
          <w:bCs/>
        </w:rPr>
        <w:t>, based upon reports furnished by each depository bank</w:t>
      </w:r>
      <w:r w:rsidR="00846556">
        <w:rPr>
          <w:bCs/>
        </w:rPr>
        <w:t>, including the assign</w:t>
      </w:r>
      <w:r w:rsidR="000F5A9B">
        <w:rPr>
          <w:bCs/>
        </w:rPr>
        <w:t>ed</w:t>
      </w:r>
      <w:r w:rsidR="00846556">
        <w:rPr>
          <w:bCs/>
        </w:rPr>
        <w:t xml:space="preserve"> market values to the pledged collateral</w:t>
      </w:r>
      <w:r w:rsidR="00142DDD" w:rsidRPr="00142DDD">
        <w:rPr>
          <w:bCs/>
        </w:rPr>
        <w:t>.</w:t>
      </w:r>
    </w:p>
    <w:p w:rsidR="00846556" w:rsidRDefault="00846556" w:rsidP="009476BE">
      <w:pPr>
        <w:pStyle w:val="NoSpacing"/>
        <w:jc w:val="both"/>
        <w:rPr>
          <w:bCs/>
        </w:rPr>
      </w:pPr>
    </w:p>
    <w:p w:rsidR="00A2705F" w:rsidRDefault="005C27B9" w:rsidP="009476BE">
      <w:pPr>
        <w:pStyle w:val="NoSpacing"/>
        <w:jc w:val="both"/>
        <w:rPr>
          <w:bCs/>
        </w:rPr>
      </w:pPr>
      <w:r>
        <w:rPr>
          <w:bCs/>
        </w:rPr>
        <w:lastRenderedPageBreak/>
        <w:t>For</w:t>
      </w:r>
      <w:r w:rsidR="00A2705F">
        <w:rPr>
          <w:bCs/>
        </w:rPr>
        <w:t xml:space="preserve"> depository banks using the Dedicated Method to secured State Treasurer deposits, the Banking Division uses the bank’s online reporting systems to </w:t>
      </w:r>
      <w:r w:rsidR="001A34F7">
        <w:rPr>
          <w:bCs/>
        </w:rPr>
        <w:t xml:space="preserve">assist in </w:t>
      </w:r>
      <w:r w:rsidR="00A2705F">
        <w:rPr>
          <w:bCs/>
        </w:rPr>
        <w:t>ascertain</w:t>
      </w:r>
      <w:r w:rsidR="001A34F7">
        <w:rPr>
          <w:bCs/>
        </w:rPr>
        <w:t>ing</w:t>
      </w:r>
      <w:r w:rsidR="00A2705F">
        <w:rPr>
          <w:bCs/>
        </w:rPr>
        <w:t xml:space="preserve"> that the deposits are</w:t>
      </w:r>
      <w:r w:rsidR="000F5A9B">
        <w:rPr>
          <w:bCs/>
        </w:rPr>
        <w:t xml:space="preserve"> adequately</w:t>
      </w:r>
      <w:r w:rsidR="00A2705F">
        <w:rPr>
          <w:bCs/>
        </w:rPr>
        <w:t xml:space="preserve"> secured.</w:t>
      </w:r>
    </w:p>
    <w:p w:rsidR="00A2705F" w:rsidRDefault="00A2705F" w:rsidP="009476BE">
      <w:pPr>
        <w:pStyle w:val="NoSpacing"/>
        <w:jc w:val="both"/>
        <w:rPr>
          <w:bCs/>
        </w:rPr>
      </w:pPr>
    </w:p>
    <w:p w:rsidR="00142DDD" w:rsidRPr="00142DDD" w:rsidRDefault="00C43699" w:rsidP="009476BE">
      <w:pPr>
        <w:pStyle w:val="NoSpacing"/>
        <w:jc w:val="both"/>
        <w:rPr>
          <w:bCs/>
        </w:rPr>
      </w:pPr>
      <w:r>
        <w:rPr>
          <w:bCs/>
        </w:rPr>
        <w:t xml:space="preserve">For </w:t>
      </w:r>
      <w:r w:rsidR="0077760A">
        <w:rPr>
          <w:bCs/>
        </w:rPr>
        <w:t xml:space="preserve">any local entity whose deposits are collateralized through </w:t>
      </w:r>
      <w:r w:rsidR="00846556">
        <w:rPr>
          <w:bCs/>
        </w:rPr>
        <w:t xml:space="preserve">the </w:t>
      </w:r>
      <w:r w:rsidR="00D60AB7">
        <w:rPr>
          <w:bCs/>
        </w:rPr>
        <w:t xml:space="preserve">Pooling Method, </w:t>
      </w:r>
      <w:r w:rsidR="00F13DD6">
        <w:rPr>
          <w:bCs/>
        </w:rPr>
        <w:t xml:space="preserve">upon request, </w:t>
      </w:r>
      <w:r w:rsidR="00D60AB7">
        <w:rPr>
          <w:bCs/>
        </w:rPr>
        <w:t xml:space="preserve">the </w:t>
      </w:r>
      <w:r w:rsidR="00A2705F">
        <w:rPr>
          <w:bCs/>
        </w:rPr>
        <w:t>Banking Division</w:t>
      </w:r>
      <w:r w:rsidR="00D60AB7">
        <w:rPr>
          <w:bCs/>
        </w:rPr>
        <w:t xml:space="preserve"> </w:t>
      </w:r>
      <w:r w:rsidR="00F13DD6">
        <w:rPr>
          <w:bCs/>
        </w:rPr>
        <w:t>will provide a report</w:t>
      </w:r>
      <w:r w:rsidR="0077760A">
        <w:rPr>
          <w:bCs/>
        </w:rPr>
        <w:t xml:space="preserve"> detailing the bank’s </w:t>
      </w:r>
      <w:r w:rsidR="004115F9">
        <w:rPr>
          <w:bCs/>
        </w:rPr>
        <w:t xml:space="preserve">reported </w:t>
      </w:r>
      <w:r w:rsidR="0077760A">
        <w:rPr>
          <w:bCs/>
        </w:rPr>
        <w:t>calculations of deposit amounts required to be collateralized and the amount actually collateralized.</w:t>
      </w:r>
      <w:r w:rsidR="00846556">
        <w:rPr>
          <w:bCs/>
        </w:rPr>
        <w:t xml:space="preserve"> </w:t>
      </w:r>
    </w:p>
    <w:p w:rsidR="00B346EF" w:rsidRDefault="00B346EF" w:rsidP="009476BE">
      <w:pPr>
        <w:pStyle w:val="NoSpacing"/>
        <w:jc w:val="both"/>
        <w:rPr>
          <w:bCs/>
        </w:rPr>
      </w:pPr>
    </w:p>
    <w:p w:rsidR="0002362E" w:rsidRDefault="00A2705F" w:rsidP="009476BE">
      <w:pPr>
        <w:pStyle w:val="NoSpacing"/>
        <w:jc w:val="both"/>
      </w:pPr>
      <w:r>
        <w:t xml:space="preserve">The Banking Division responds to requests </w:t>
      </w:r>
      <w:r w:rsidR="001A34F7">
        <w:t xml:space="preserve">that may be </w:t>
      </w:r>
      <w:r>
        <w:t>received from auditors of local entities for verification of</w:t>
      </w:r>
      <w:r w:rsidR="001A34F7">
        <w:t xml:space="preserve"> deposits secured under the Pooling Method.</w:t>
      </w:r>
    </w:p>
    <w:p w:rsidR="001D3A33" w:rsidRDefault="001D3A33" w:rsidP="009476BE">
      <w:pPr>
        <w:pStyle w:val="NoSpacing"/>
        <w:jc w:val="both"/>
        <w:rPr>
          <w:b/>
          <w:bCs/>
          <w:sz w:val="28"/>
          <w:szCs w:val="28"/>
        </w:rPr>
      </w:pPr>
    </w:p>
    <w:p w:rsidR="005C58BB" w:rsidRPr="005C58BB" w:rsidRDefault="005C58BB" w:rsidP="009476BE">
      <w:pPr>
        <w:pStyle w:val="NoSpacing"/>
        <w:jc w:val="both"/>
        <w:rPr>
          <w:b/>
          <w:bCs/>
          <w:sz w:val="28"/>
          <w:szCs w:val="28"/>
        </w:rPr>
      </w:pPr>
      <w:r>
        <w:rPr>
          <w:b/>
          <w:bCs/>
          <w:sz w:val="28"/>
          <w:szCs w:val="28"/>
        </w:rPr>
        <w:t>Authorization to Collateralize Public or Trust Funds</w:t>
      </w:r>
    </w:p>
    <w:p w:rsidR="005C58BB" w:rsidRPr="005C58BB" w:rsidRDefault="00E3007B" w:rsidP="009476BE">
      <w:pPr>
        <w:pStyle w:val="NoSpacing"/>
        <w:jc w:val="both"/>
        <w:rPr>
          <w:bCs/>
        </w:rPr>
      </w:pPr>
      <w:r>
        <w:rPr>
          <w:bCs/>
        </w:rPr>
        <w:t>A</w:t>
      </w:r>
      <w:r w:rsidR="005C58BB" w:rsidRPr="005C58BB">
        <w:rPr>
          <w:bCs/>
        </w:rPr>
        <w:t xml:space="preserve"> </w:t>
      </w:r>
      <w:r w:rsidR="005C58BB">
        <w:rPr>
          <w:bCs/>
        </w:rPr>
        <w:t xml:space="preserve">depository bank may receive deposits from </w:t>
      </w:r>
      <w:r>
        <w:rPr>
          <w:bCs/>
        </w:rPr>
        <w:t xml:space="preserve">a </w:t>
      </w:r>
      <w:r w:rsidR="00F46BB1">
        <w:rPr>
          <w:bCs/>
        </w:rPr>
        <w:t>quasi-</w:t>
      </w:r>
      <w:r w:rsidR="005C58BB">
        <w:rPr>
          <w:bCs/>
        </w:rPr>
        <w:t>governmental entit</w:t>
      </w:r>
      <w:r>
        <w:rPr>
          <w:bCs/>
        </w:rPr>
        <w:t>y</w:t>
      </w:r>
      <w:r w:rsidR="005C58BB">
        <w:rPr>
          <w:bCs/>
        </w:rPr>
        <w:t xml:space="preserve"> for which the State Treasurer is not </w:t>
      </w:r>
      <w:r>
        <w:rPr>
          <w:bCs/>
        </w:rPr>
        <w:t xml:space="preserve">considered the “official </w:t>
      </w:r>
      <w:r w:rsidR="005C58BB">
        <w:rPr>
          <w:bCs/>
        </w:rPr>
        <w:t>custodian</w:t>
      </w:r>
      <w:r>
        <w:rPr>
          <w:bCs/>
        </w:rPr>
        <w:t xml:space="preserve">,” or from a </w:t>
      </w:r>
      <w:r w:rsidR="00F46BB1">
        <w:rPr>
          <w:bCs/>
        </w:rPr>
        <w:t>quasi-</w:t>
      </w:r>
      <w:r>
        <w:rPr>
          <w:bCs/>
        </w:rPr>
        <w:t xml:space="preserve">governmental entity not considered a </w:t>
      </w:r>
      <w:r w:rsidRPr="00E3007B">
        <w:rPr>
          <w:bCs/>
        </w:rPr>
        <w:t xml:space="preserve">“local entity” </w:t>
      </w:r>
      <w:r>
        <w:rPr>
          <w:bCs/>
        </w:rPr>
        <w:t>as defined under Section 11-1-50</w:t>
      </w:r>
      <w:r w:rsidR="00F46BB1">
        <w:rPr>
          <w:bCs/>
        </w:rPr>
        <w:t xml:space="preserve"> of the SC Code</w:t>
      </w:r>
      <w:r>
        <w:rPr>
          <w:bCs/>
        </w:rPr>
        <w:t xml:space="preserve">. The depository bank </w:t>
      </w:r>
      <w:r w:rsidR="00F46BB1">
        <w:rPr>
          <w:bCs/>
        </w:rPr>
        <w:t>should</w:t>
      </w:r>
      <w:r w:rsidR="001D3A33">
        <w:rPr>
          <w:bCs/>
        </w:rPr>
        <w:t xml:space="preserve"> ascertain that statutory authority exists for the funds to be collateralized. Collateralizing such deposits without authority may be result in the pledging being deemed invalid in the case of the bank’s default. </w:t>
      </w:r>
    </w:p>
    <w:p w:rsidR="00A30CD0" w:rsidRDefault="00A30CD0" w:rsidP="009476BE">
      <w:pPr>
        <w:pStyle w:val="NoSpacing"/>
        <w:jc w:val="both"/>
        <w:rPr>
          <w:b/>
          <w:bCs/>
          <w:sz w:val="28"/>
          <w:szCs w:val="28"/>
        </w:rPr>
      </w:pPr>
    </w:p>
    <w:p w:rsidR="00A30CD0" w:rsidRPr="005C58BB" w:rsidRDefault="00A30CD0" w:rsidP="009476BE">
      <w:pPr>
        <w:pStyle w:val="NoSpacing"/>
        <w:jc w:val="both"/>
        <w:rPr>
          <w:b/>
          <w:bCs/>
          <w:sz w:val="28"/>
          <w:szCs w:val="28"/>
        </w:rPr>
      </w:pPr>
      <w:r>
        <w:rPr>
          <w:b/>
          <w:bCs/>
          <w:sz w:val="28"/>
          <w:szCs w:val="28"/>
        </w:rPr>
        <w:t>Event of Default</w:t>
      </w:r>
    </w:p>
    <w:p w:rsidR="000F5A9B" w:rsidRDefault="00A30CD0" w:rsidP="009476BE">
      <w:pPr>
        <w:pStyle w:val="NoSpacing"/>
        <w:jc w:val="both"/>
        <w:rPr>
          <w:b/>
          <w:bCs/>
          <w:sz w:val="28"/>
          <w:szCs w:val="28"/>
        </w:rPr>
      </w:pPr>
      <w:r>
        <w:rPr>
          <w:bCs/>
        </w:rPr>
        <w:t>In the event of the default of a</w:t>
      </w:r>
      <w:r w:rsidRPr="005C58BB">
        <w:rPr>
          <w:bCs/>
        </w:rPr>
        <w:t xml:space="preserve"> </w:t>
      </w:r>
      <w:r>
        <w:rPr>
          <w:bCs/>
        </w:rPr>
        <w:t xml:space="preserve">depository bank where the State Treasurer is the pledgee, the State Treasurer will take the necessary actions as provided under the SC Code and the applicable Tri-party Collateral Agreement or Pledged </w:t>
      </w:r>
      <w:r w:rsidR="00C43699">
        <w:rPr>
          <w:bCs/>
        </w:rPr>
        <w:t>Security</w:t>
      </w:r>
      <w:r>
        <w:rPr>
          <w:bCs/>
        </w:rPr>
        <w:t xml:space="preserve"> Agreement to avoid loss of deposits </w:t>
      </w:r>
      <w:r w:rsidR="00226A7D">
        <w:rPr>
          <w:bCs/>
        </w:rPr>
        <w:t xml:space="preserve">so </w:t>
      </w:r>
      <w:r>
        <w:rPr>
          <w:bCs/>
        </w:rPr>
        <w:t>secured.  In the case of the Pooling Method, it will be necessary for each participating local entity to follow a claim process</w:t>
      </w:r>
      <w:r w:rsidR="00226A7D">
        <w:rPr>
          <w:bCs/>
        </w:rPr>
        <w:t xml:space="preserve"> established by</w:t>
      </w:r>
      <w:r>
        <w:rPr>
          <w:bCs/>
        </w:rPr>
        <w:t xml:space="preserve"> the State Treasurer for deposits for which were in excess of the FDIC </w:t>
      </w:r>
      <w:r w:rsidR="00226A7D">
        <w:rPr>
          <w:bCs/>
        </w:rPr>
        <w:t>insurance coverage at the time of the default.  The established claim process will assist in facilitating the liquidation of any collateral that may be necessary.</w:t>
      </w:r>
    </w:p>
    <w:p w:rsidR="00C43699" w:rsidRDefault="00C43699" w:rsidP="00D03DA3">
      <w:pPr>
        <w:pStyle w:val="NoSpacing"/>
        <w:rPr>
          <w:b/>
          <w:bCs/>
          <w:sz w:val="28"/>
          <w:szCs w:val="28"/>
        </w:rPr>
      </w:pPr>
    </w:p>
    <w:p w:rsidR="00C43699" w:rsidRDefault="00C43699" w:rsidP="00D03DA3">
      <w:pPr>
        <w:pStyle w:val="NoSpacing"/>
        <w:rPr>
          <w:b/>
          <w:bCs/>
          <w:sz w:val="28"/>
          <w:szCs w:val="28"/>
        </w:rPr>
      </w:pPr>
    </w:p>
    <w:p w:rsidR="00561CC0" w:rsidRPr="00073810" w:rsidRDefault="003F43E9" w:rsidP="000E4F76">
      <w:pPr>
        <w:rPr>
          <w:b/>
          <w:bCs/>
          <w:sz w:val="28"/>
          <w:szCs w:val="28"/>
        </w:rPr>
      </w:pPr>
      <w:r>
        <w:rPr>
          <w:b/>
          <w:bCs/>
          <w:sz w:val="28"/>
          <w:szCs w:val="28"/>
        </w:rPr>
        <w:t>A</w:t>
      </w:r>
      <w:r w:rsidR="001D3A33">
        <w:rPr>
          <w:b/>
          <w:bCs/>
          <w:sz w:val="28"/>
          <w:szCs w:val="28"/>
        </w:rPr>
        <w:t xml:space="preserve">pplicable </w:t>
      </w:r>
      <w:r w:rsidR="00561CC0" w:rsidRPr="00073810">
        <w:rPr>
          <w:b/>
          <w:bCs/>
          <w:sz w:val="28"/>
          <w:szCs w:val="28"/>
        </w:rPr>
        <w:t>SC Code</w:t>
      </w:r>
      <w:r w:rsidR="001D3A33">
        <w:rPr>
          <w:b/>
          <w:bCs/>
          <w:sz w:val="28"/>
          <w:szCs w:val="28"/>
        </w:rPr>
        <w:t>s</w:t>
      </w:r>
      <w:r w:rsidR="00561CC0" w:rsidRPr="00073810">
        <w:rPr>
          <w:b/>
          <w:bCs/>
          <w:sz w:val="28"/>
          <w:szCs w:val="28"/>
        </w:rPr>
        <w:t xml:space="preserve"> of Law</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b/>
        </w:rPr>
        <w:t>SECTION 11</w:t>
      </w:r>
      <w:r w:rsidRPr="00454B72">
        <w:rPr>
          <w:rFonts w:eastAsia="Calibri" w:cs="Times New Roman"/>
          <w:b/>
        </w:rPr>
        <w:noBreakHyphen/>
        <w:t>13</w:t>
      </w:r>
      <w:r w:rsidRPr="00454B72">
        <w:rPr>
          <w:rFonts w:eastAsia="Calibri" w:cs="Times New Roman"/>
          <w:b/>
        </w:rPr>
        <w:noBreakHyphen/>
        <w:t>60.</w:t>
      </w:r>
      <w:r w:rsidRPr="00454B72">
        <w:rPr>
          <w:rFonts w:eastAsia="Calibri" w:cs="Times New Roman"/>
        </w:rPr>
        <w:t xml:space="preserve"> Security for state funds deposited in excess of FDIC coverage.</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t>(1) furnish an indemnity bond in a responsible surety company authorized to do business in this State; or</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t>(2) pledge as collateral:</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(a) obligations of the United States;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(b) obligations fully guaranteed both as to principal and interest by the United States;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(c) general obligations of this State or any political subdivision of this State; or</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(d) obligations of the Federal National Mortgage Association, the Federal Home Loan Bank, Federal Farm Credit Bank, or the Federal Home Loan Mortgage Corporation; or</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lastRenderedPageBreak/>
        <w:tab/>
      </w:r>
      <w:r w:rsidRPr="00454B72">
        <w:rPr>
          <w:rFonts w:eastAsia="Calibri" w:cs="Times New Roman"/>
        </w:rPr>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t>(B)(1) A qualified public depository has the following options: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r>
      <w:r w:rsidRPr="00454B72">
        <w:rPr>
          <w:rFonts w:eastAsia="Calibri" w:cs="Times New Roman"/>
        </w:rPr>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r>
      <w:r w:rsidRPr="00454B72">
        <w:rPr>
          <w:rFonts w:eastAsia="Calibri" w:cs="Times New Roman"/>
        </w:rPr>
        <w:tab/>
        <w:t>(2) Notwithstanding the provisions of item (1) of this subsection, the State Treasurer, when other federal or state law applies, may require a qualified public depository to secure all uninsured state funds separately under the Dedicated Method.</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t>(C) A qualified public depository shall not accept or retain any state funds that are required to be secured unless it has deposited eligible collateral equal to its required collateral with some proper depository pursuant to this chapter.</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t>(D) The State Treasurer may assess a fee against the investment earnings of various state funds managed or invested by the State Treasurer to cover the operation and management costs associated with this section and Section 6</w:t>
      </w:r>
      <w:r w:rsidRPr="00454B72">
        <w:rPr>
          <w:rFonts w:eastAsia="Calibri" w:cs="Times New Roman"/>
        </w:rPr>
        <w:noBreakHyphen/>
        <w:t>5</w:t>
      </w:r>
      <w:r w:rsidRPr="00454B72">
        <w:rPr>
          <w:rFonts w:eastAsia="Calibri" w:cs="Times New Roman"/>
        </w:rPr>
        <w:noBreakHyphen/>
        <w:t>15(E)(1)(b). These fees may be retained and expended to provide these services and may not exceed the actual costs associated with providing the services.</w:t>
      </w:r>
    </w:p>
    <w:p w:rsidR="00454B72" w:rsidRPr="00454B72" w:rsidRDefault="00454B72" w:rsidP="00454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Calibri" w:cs="Times New Roman"/>
        </w:rPr>
      </w:pPr>
      <w:r w:rsidRPr="00454B72">
        <w:rPr>
          <w:rFonts w:eastAsia="Calibri" w:cs="Times New Roman"/>
        </w:rPr>
        <w:tab/>
        <w:t>(E) “Qualified public depository”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w:t>
      </w:r>
    </w:p>
    <w:p w:rsidR="00454B72" w:rsidRPr="00073810" w:rsidRDefault="00454B72" w:rsidP="00D03DA3">
      <w:pPr>
        <w:pStyle w:val="NoSpacing"/>
        <w:rPr>
          <w:b/>
          <w:bCs/>
        </w:rPr>
      </w:pPr>
    </w:p>
    <w:p w:rsidR="006A2FE6" w:rsidRPr="00073810" w:rsidRDefault="00D03DA3"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rPr>
          <w:b/>
          <w:bCs/>
        </w:rPr>
        <w:t xml:space="preserve"> </w:t>
      </w:r>
      <w:r w:rsidR="006A2FE6" w:rsidRPr="00073810">
        <w:rPr>
          <w:b/>
        </w:rPr>
        <w:t>SECTION 6</w:t>
      </w:r>
      <w:r w:rsidR="006A2FE6" w:rsidRPr="00073810">
        <w:rPr>
          <w:b/>
        </w:rPr>
        <w:noBreakHyphen/>
        <w:t>5</w:t>
      </w:r>
      <w:r w:rsidR="006A2FE6" w:rsidRPr="00073810">
        <w:rPr>
          <w:b/>
        </w:rPr>
        <w:noBreakHyphen/>
        <w:t>15.</w:t>
      </w:r>
      <w:r w:rsidR="006A2FE6" w:rsidRPr="00073810">
        <w:t xml:space="preserve"> Securing deposits of funds by local entities.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 As used in this section, “local entity” means the governing body of a municipality, county, school district, other local government unit or political subdivision, or a county treasurer.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(B) 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(C) To the extent that these deposits exceed the amount of insurance coverage provided by the Federal Deposit Insurance Corporation, the qualified public depository at the time of deposit must:</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(1) furnish an indemnity bond in a responsible surety company authorized to do business in this State; or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(2) pledge as collateral:</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r>
      <w:r w:rsidRPr="00073810">
        <w:tab/>
        <w:t>(a) obligations of the United States;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r>
      <w:r w:rsidRPr="00073810">
        <w:tab/>
        <w:t>(b) obligations fully guaranteed both as to principal and interest by the United States;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lastRenderedPageBreak/>
        <w:tab/>
      </w:r>
      <w:r w:rsidRPr="00073810">
        <w:tab/>
      </w:r>
      <w:r w:rsidRPr="00073810">
        <w:tab/>
        <w:t>(c) general obligations of this State or any political subdivision of this State; or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r>
      <w:r w:rsidRPr="00073810">
        <w:tab/>
        <w:t>(d) obligations of the Federal National Mortgage Association, the Federal Home Loan Bank, Federal Farm Credit Bank, or the Federal Home Loan Mortgage Corporation; or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(D) The local entity must exercise prudence in accepting collateral securities or other forms of deposit security.</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(E)(1) A qualified public depository has the following options: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r>
      <w:r w:rsidRPr="00073810">
        <w:tab/>
        <w:t>(a)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r>
      <w:r w:rsidRPr="00073810">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depository’s compliance and providing monthly reports to each local entity in the pool.</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(2) Notwithstanding the provisions of item (1), the local entity, when other federal or state law applies, may require a qualified public depository to secure all uninsured funds separately under the Dedicated Method.</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(F) A qualified public depository shall not accept or retain any funds that are required to be secured unless it has deposited eligible collateral equal to its required collateral with some proper depository pursuant to this chapter.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(G) “Qualified public depository”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t>(H) In addition to the investments authorized for local entities in Section 6</w:t>
      </w:r>
      <w:r w:rsidRPr="00073810">
        <w:noBreakHyphen/>
        <w:t>5</w:t>
      </w:r>
      <w:r w:rsidRPr="00073810">
        <w:noBreakHyphen/>
        <w:t>10 and notwithstanding another provision of law, a local entity may deposit all or a portion of surplus public funds in its control or possession in accordance with the following conditions:</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(1) the funds are initially deposited in a qualified public depository selected by the local entity;</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(2) the selected qualified public depository arranges for depositing the funds in one or more federally insured banks or savings and loan associations, wherever located, for the account of the local entity;</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(3) the full amount of the principal and accrued interest of each deposit is insured by the Federal Deposit Insurance Corporation; and</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810">
        <w:tab/>
      </w:r>
      <w:r w:rsidRPr="00073810">
        <w:tab/>
        <w:t>(4) the selected qualified public depository acts as custodian for the local entity with respect to each deposit.</w:t>
      </w:r>
    </w:p>
    <w:p w:rsidR="006A2FE6" w:rsidRPr="00073810" w:rsidRDefault="006A2FE6" w:rsidP="006A2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2FE6" w:rsidRPr="00073810" w:rsidRDefault="006A2FE6" w:rsidP="004F1259">
      <w:pPr>
        <w:pStyle w:val="NoSpacing"/>
        <w:jc w:val="both"/>
      </w:pPr>
      <w:r w:rsidRPr="00073810">
        <w:rPr>
          <w:b/>
        </w:rPr>
        <w:t>SECTION 11</w:t>
      </w:r>
      <w:r w:rsidRPr="00073810">
        <w:rPr>
          <w:b/>
        </w:rPr>
        <w:noBreakHyphen/>
        <w:t>1</w:t>
      </w:r>
      <w:r w:rsidRPr="00073810">
        <w:rPr>
          <w:b/>
        </w:rPr>
        <w:noBreakHyphen/>
        <w:t>50.</w:t>
      </w:r>
      <w:r w:rsidRPr="00073810">
        <w:t xml:space="preserve"> Protection of deposits of public funds and trust funds by Federal deposit insurance; other security.</w:t>
      </w:r>
    </w:p>
    <w:p w:rsidR="006A2FE6" w:rsidRPr="00073810" w:rsidRDefault="006A2FE6" w:rsidP="004F1259">
      <w:pPr>
        <w:pStyle w:val="NoSpacing"/>
        <w:jc w:val="both"/>
      </w:pPr>
      <w:r w:rsidRPr="00073810">
        <w:tab/>
        <w:t xml:space="preserve">Such portion of the public monies as may be on deposit in any bank and protected by Federal deposit insurance shall be exempt from the requirement that security be furnished for it by such bank and </w:t>
      </w:r>
      <w:r w:rsidRPr="00073810">
        <w:lastRenderedPageBreak/>
        <w:t>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226A7D" w:rsidRDefault="00226A7D" w:rsidP="00F76A05">
      <w:pPr>
        <w:autoSpaceDE w:val="0"/>
        <w:autoSpaceDN w:val="0"/>
        <w:adjustRightInd w:val="0"/>
        <w:spacing w:after="0" w:line="240" w:lineRule="auto"/>
        <w:jc w:val="both"/>
        <w:rPr>
          <w:rFonts w:asciiTheme="majorHAnsi" w:eastAsia="Calibri" w:hAnsiTheme="majorHAnsi" w:cs="Times New Roman"/>
          <w:b/>
          <w:sz w:val="28"/>
          <w:szCs w:val="28"/>
        </w:rPr>
      </w:pPr>
    </w:p>
    <w:p w:rsidR="00F76A05" w:rsidRPr="00F76A05" w:rsidRDefault="001878FE" w:rsidP="00F76A05">
      <w:pPr>
        <w:autoSpaceDE w:val="0"/>
        <w:autoSpaceDN w:val="0"/>
        <w:adjustRightInd w:val="0"/>
        <w:spacing w:after="0" w:line="240" w:lineRule="auto"/>
        <w:jc w:val="both"/>
        <w:rPr>
          <w:rFonts w:asciiTheme="majorHAnsi" w:eastAsia="Calibri" w:hAnsiTheme="majorHAnsi" w:cs="Times New Roman"/>
          <w:b/>
          <w:sz w:val="28"/>
          <w:szCs w:val="28"/>
        </w:rPr>
      </w:pPr>
      <w:r w:rsidRPr="00073810">
        <w:rPr>
          <w:rFonts w:asciiTheme="majorHAnsi" w:eastAsia="Calibri" w:hAnsiTheme="majorHAnsi" w:cs="Times New Roman"/>
          <w:b/>
          <w:sz w:val="28"/>
          <w:szCs w:val="28"/>
        </w:rPr>
        <w:t xml:space="preserve">Eligible </w:t>
      </w:r>
      <w:r w:rsidR="00E2727C" w:rsidRPr="00073810">
        <w:rPr>
          <w:rFonts w:asciiTheme="majorHAnsi" w:eastAsia="Calibri" w:hAnsiTheme="majorHAnsi" w:cs="Times New Roman"/>
          <w:b/>
          <w:sz w:val="28"/>
          <w:szCs w:val="28"/>
        </w:rPr>
        <w:t>Collateral</w:t>
      </w:r>
      <w:r w:rsidRPr="00073810">
        <w:rPr>
          <w:rFonts w:asciiTheme="majorHAnsi" w:eastAsia="Calibri" w:hAnsiTheme="majorHAnsi" w:cs="Times New Roman"/>
          <w:b/>
          <w:sz w:val="28"/>
          <w:szCs w:val="28"/>
        </w:rPr>
        <w:t xml:space="preserve"> and Associated</w:t>
      </w:r>
      <w:r w:rsidR="00E2727C" w:rsidRPr="00073810">
        <w:rPr>
          <w:rFonts w:asciiTheme="majorHAnsi" w:eastAsia="Calibri" w:hAnsiTheme="majorHAnsi" w:cs="Times New Roman"/>
          <w:b/>
          <w:sz w:val="28"/>
          <w:szCs w:val="28"/>
        </w:rPr>
        <w:t xml:space="preserve"> Margins</w:t>
      </w:r>
    </w:p>
    <w:p w:rsidR="00F76A05" w:rsidRPr="00F76A05" w:rsidRDefault="00F76A05" w:rsidP="00F76A05">
      <w:pPr>
        <w:autoSpaceDE w:val="0"/>
        <w:autoSpaceDN w:val="0"/>
        <w:adjustRightInd w:val="0"/>
        <w:spacing w:after="0" w:line="240" w:lineRule="auto"/>
        <w:jc w:val="both"/>
        <w:rPr>
          <w:rFonts w:ascii="Times New Roman" w:eastAsia="Calibri" w:hAnsi="Times New Roman" w:cs="Times New Roman"/>
          <w:color w:val="000000"/>
          <w:sz w:val="21"/>
          <w:szCs w:val="21"/>
        </w:rPr>
      </w:pPr>
    </w:p>
    <w:tbl>
      <w:tblPr>
        <w:tblStyle w:val="TableGrid1"/>
        <w:tblW w:w="0" w:type="auto"/>
        <w:tblLook w:val="04A0" w:firstRow="1" w:lastRow="0" w:firstColumn="1" w:lastColumn="0" w:noHBand="0" w:noVBand="1"/>
      </w:tblPr>
      <w:tblGrid>
        <w:gridCol w:w="3506"/>
        <w:gridCol w:w="1071"/>
        <w:gridCol w:w="268"/>
        <w:gridCol w:w="3566"/>
        <w:gridCol w:w="939"/>
      </w:tblGrid>
      <w:tr w:rsidR="00F76A05" w:rsidRPr="00F76A05" w:rsidTr="00DD3909">
        <w:tc>
          <w:tcPr>
            <w:tcW w:w="9576" w:type="dxa"/>
            <w:gridSpan w:val="5"/>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Obligations of the United States or Guaranteed P&amp;I by the United States</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Obligations of the United States</w:t>
            </w:r>
          </w:p>
        </w:tc>
        <w:tc>
          <w:tcPr>
            <w:tcW w:w="1080"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Margin</w:t>
            </w: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Governmental Nat’l Mortgage Assn.</w:t>
            </w:r>
          </w:p>
        </w:tc>
        <w:tc>
          <w:tcPr>
            <w:tcW w:w="941"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Margin</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US Bonds, Notes, Bills, Strips</w:t>
            </w:r>
          </w:p>
        </w:tc>
        <w:tc>
          <w:tcPr>
            <w:tcW w:w="108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10</w:t>
            </w:r>
            <w:r w:rsidR="00C43699">
              <w:rPr>
                <w:rFonts w:ascii="Times New Roman" w:eastAsia="Calibri" w:hAnsi="Times New Roman" w:cs="Times New Roman"/>
                <w:color w:val="000000"/>
                <w:sz w:val="21"/>
                <w:szCs w:val="21"/>
              </w:rPr>
              <w:t>2</w:t>
            </w:r>
            <w:r w:rsidRPr="00F76A05">
              <w:rPr>
                <w:rFonts w:ascii="Times New Roman" w:eastAsia="Calibri" w:hAnsi="Times New Roman" w:cs="Times New Roman"/>
                <w:color w:val="000000"/>
                <w:sz w:val="21"/>
                <w:szCs w:val="21"/>
              </w:rPr>
              <w:t>%</w:t>
            </w: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 xml:space="preserve">GNMA’s </w:t>
            </w:r>
          </w:p>
        </w:tc>
        <w:tc>
          <w:tcPr>
            <w:tcW w:w="941" w:type="dxa"/>
          </w:tcPr>
          <w:p w:rsidR="00F76A05" w:rsidRPr="00F76A05" w:rsidRDefault="00C43699" w:rsidP="00F76A05">
            <w:pPr>
              <w:autoSpaceDE w:val="0"/>
              <w:autoSpaceDN w:val="0"/>
              <w:adjustRightInd w:val="0"/>
              <w:jc w:val="both"/>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102</w:t>
            </w:r>
            <w:r w:rsidR="00F76A05" w:rsidRPr="00F76A05">
              <w:rPr>
                <w:rFonts w:ascii="Times New Roman" w:eastAsia="Calibri" w:hAnsi="Times New Roman" w:cs="Times New Roman"/>
                <w:color w:val="000000"/>
                <w:sz w:val="21"/>
                <w:szCs w:val="21"/>
              </w:rPr>
              <w:t>%</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1080"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941"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r>
    </w:tbl>
    <w:p w:rsidR="00F76A05" w:rsidRPr="00F76A05" w:rsidRDefault="00F76A05" w:rsidP="00F76A05">
      <w:pPr>
        <w:autoSpaceDE w:val="0"/>
        <w:autoSpaceDN w:val="0"/>
        <w:adjustRightInd w:val="0"/>
        <w:spacing w:after="0" w:line="240" w:lineRule="auto"/>
        <w:jc w:val="both"/>
        <w:rPr>
          <w:rFonts w:ascii="Times New Roman" w:eastAsia="Calibri" w:hAnsi="Times New Roman" w:cs="Times New Roman"/>
          <w:color w:val="000000"/>
          <w:sz w:val="21"/>
          <w:szCs w:val="21"/>
        </w:rPr>
      </w:pPr>
    </w:p>
    <w:tbl>
      <w:tblPr>
        <w:tblStyle w:val="TableGrid1"/>
        <w:tblW w:w="0" w:type="auto"/>
        <w:tblLook w:val="04A0" w:firstRow="1" w:lastRow="0" w:firstColumn="1" w:lastColumn="0" w:noHBand="0" w:noVBand="1"/>
      </w:tblPr>
      <w:tblGrid>
        <w:gridCol w:w="3511"/>
        <w:gridCol w:w="1071"/>
        <w:gridCol w:w="268"/>
        <w:gridCol w:w="3561"/>
        <w:gridCol w:w="939"/>
      </w:tblGrid>
      <w:tr w:rsidR="00F76A05" w:rsidRPr="00F76A05" w:rsidTr="00DD3909">
        <w:tc>
          <w:tcPr>
            <w:tcW w:w="9576" w:type="dxa"/>
            <w:gridSpan w:val="5"/>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General Obligations of S.C. or Political Subdivisions of S.C.</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Obligations of South Carolina</w:t>
            </w:r>
          </w:p>
        </w:tc>
        <w:tc>
          <w:tcPr>
            <w:tcW w:w="1080"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Margin</w:t>
            </w: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Obligations of Political Subdivisions</w:t>
            </w:r>
          </w:p>
        </w:tc>
        <w:tc>
          <w:tcPr>
            <w:tcW w:w="941"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Margin</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General Obligations</w:t>
            </w:r>
          </w:p>
        </w:tc>
        <w:tc>
          <w:tcPr>
            <w:tcW w:w="108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02</w:t>
            </w:r>
            <w:r w:rsidRPr="00F76A05">
              <w:rPr>
                <w:rFonts w:ascii="Times New Roman" w:eastAsia="Calibri" w:hAnsi="Times New Roman" w:cs="Times New Roman"/>
                <w:color w:val="000000"/>
                <w:sz w:val="21"/>
                <w:szCs w:val="21"/>
              </w:rPr>
              <w:t>%</w:t>
            </w: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General Obligations</w:t>
            </w:r>
          </w:p>
        </w:tc>
        <w:tc>
          <w:tcPr>
            <w:tcW w:w="941"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05</w:t>
            </w:r>
            <w:r w:rsidRPr="00F76A05">
              <w:rPr>
                <w:rFonts w:ascii="Times New Roman" w:eastAsia="Calibri" w:hAnsi="Times New Roman" w:cs="Times New Roman"/>
                <w:color w:val="000000"/>
                <w:sz w:val="21"/>
                <w:szCs w:val="21"/>
              </w:rPr>
              <w:t>%</w:t>
            </w:r>
          </w:p>
        </w:tc>
      </w:tr>
      <w:tr w:rsidR="00F76A05" w:rsidRPr="00F76A05" w:rsidTr="00DD3909">
        <w:tc>
          <w:tcPr>
            <w:tcW w:w="3618"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1080"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270" w:type="dxa"/>
            <w:shd w:val="clear" w:color="auto" w:fill="EEECE1" w:themeFill="background2"/>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3667"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c>
          <w:tcPr>
            <w:tcW w:w="941"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p>
        </w:tc>
      </w:tr>
    </w:tbl>
    <w:p w:rsidR="00F76A05" w:rsidRPr="00F76A05" w:rsidRDefault="00F76A05" w:rsidP="00F76A05">
      <w:pPr>
        <w:autoSpaceDE w:val="0"/>
        <w:autoSpaceDN w:val="0"/>
        <w:adjustRightInd w:val="0"/>
        <w:spacing w:after="0" w:line="240" w:lineRule="auto"/>
        <w:jc w:val="both"/>
        <w:rPr>
          <w:rFonts w:ascii="Times New Roman" w:eastAsia="Calibri" w:hAnsi="Times New Roman" w:cs="Times New Roman"/>
          <w:color w:val="000000"/>
          <w:sz w:val="21"/>
          <w:szCs w:val="21"/>
        </w:rPr>
      </w:pPr>
    </w:p>
    <w:tbl>
      <w:tblPr>
        <w:tblStyle w:val="TableGrid1"/>
        <w:tblW w:w="9355" w:type="dxa"/>
        <w:tblLook w:val="04A0" w:firstRow="1" w:lastRow="0" w:firstColumn="1" w:lastColumn="0" w:noHBand="0" w:noVBand="1"/>
      </w:tblPr>
      <w:tblGrid>
        <w:gridCol w:w="8455"/>
        <w:gridCol w:w="900"/>
      </w:tblGrid>
      <w:tr w:rsidR="00F76A05" w:rsidRPr="00F76A05" w:rsidTr="00DD3909">
        <w:tc>
          <w:tcPr>
            <w:tcW w:w="8455"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Obligations of Certain Federal Agencies</w:t>
            </w:r>
          </w:p>
        </w:tc>
        <w:tc>
          <w:tcPr>
            <w:tcW w:w="900" w:type="dxa"/>
          </w:tcPr>
          <w:p w:rsidR="00F76A05" w:rsidRPr="00F76A05" w:rsidRDefault="00F76A05" w:rsidP="00F76A05">
            <w:pPr>
              <w:autoSpaceDE w:val="0"/>
              <w:autoSpaceDN w:val="0"/>
              <w:adjustRightInd w:val="0"/>
              <w:jc w:val="both"/>
              <w:rPr>
                <w:rFonts w:ascii="Times New Roman" w:eastAsia="Calibri" w:hAnsi="Times New Roman" w:cs="Times New Roman"/>
                <w:b/>
                <w:color w:val="000000"/>
                <w:sz w:val="21"/>
                <w:szCs w:val="21"/>
              </w:rPr>
            </w:pPr>
            <w:r w:rsidRPr="00F76A05">
              <w:rPr>
                <w:rFonts w:ascii="Times New Roman" w:eastAsia="Calibri" w:hAnsi="Times New Roman" w:cs="Times New Roman"/>
                <w:b/>
                <w:color w:val="000000"/>
                <w:sz w:val="21"/>
                <w:szCs w:val="21"/>
              </w:rPr>
              <w:t>Margin</w:t>
            </w:r>
          </w:p>
        </w:tc>
      </w:tr>
      <w:tr w:rsidR="00F76A05" w:rsidRPr="00F76A05" w:rsidTr="00DD3909">
        <w:tc>
          <w:tcPr>
            <w:tcW w:w="8455"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Federal National Mortgage Association</w:t>
            </w:r>
          </w:p>
        </w:tc>
        <w:tc>
          <w:tcPr>
            <w:tcW w:w="90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w:t>
            </w:r>
            <w:r w:rsidRPr="00F76A05">
              <w:rPr>
                <w:rFonts w:ascii="Times New Roman" w:eastAsia="Calibri" w:hAnsi="Times New Roman" w:cs="Times New Roman"/>
                <w:color w:val="000000"/>
                <w:sz w:val="21"/>
                <w:szCs w:val="21"/>
              </w:rPr>
              <w:t>5%</w:t>
            </w:r>
          </w:p>
        </w:tc>
      </w:tr>
      <w:tr w:rsidR="00F76A05" w:rsidRPr="00F76A05" w:rsidTr="00DD3909">
        <w:tc>
          <w:tcPr>
            <w:tcW w:w="8455"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Federal Home Loan Mortgage Corp.</w:t>
            </w:r>
          </w:p>
        </w:tc>
        <w:tc>
          <w:tcPr>
            <w:tcW w:w="90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w:t>
            </w:r>
            <w:r w:rsidRPr="00F76A05">
              <w:rPr>
                <w:rFonts w:ascii="Times New Roman" w:eastAsia="Calibri" w:hAnsi="Times New Roman" w:cs="Times New Roman"/>
                <w:color w:val="000000"/>
                <w:sz w:val="21"/>
                <w:szCs w:val="21"/>
              </w:rPr>
              <w:t>5%</w:t>
            </w:r>
          </w:p>
        </w:tc>
      </w:tr>
      <w:tr w:rsidR="00F76A05" w:rsidRPr="00F76A05" w:rsidTr="00DD3909">
        <w:tc>
          <w:tcPr>
            <w:tcW w:w="8455"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 xml:space="preserve">Federal Home Loan Bank </w:t>
            </w:r>
          </w:p>
        </w:tc>
        <w:tc>
          <w:tcPr>
            <w:tcW w:w="90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w:t>
            </w:r>
            <w:r w:rsidRPr="00F76A05">
              <w:rPr>
                <w:rFonts w:ascii="Times New Roman" w:eastAsia="Calibri" w:hAnsi="Times New Roman" w:cs="Times New Roman"/>
                <w:color w:val="000000"/>
                <w:sz w:val="21"/>
                <w:szCs w:val="21"/>
              </w:rPr>
              <w:t>5%</w:t>
            </w:r>
          </w:p>
        </w:tc>
      </w:tr>
      <w:tr w:rsidR="00F76A05" w:rsidRPr="00F76A05" w:rsidTr="00DD3909">
        <w:tc>
          <w:tcPr>
            <w:tcW w:w="8455" w:type="dxa"/>
          </w:tcPr>
          <w:p w:rsidR="00F76A05" w:rsidRPr="00F76A05" w:rsidRDefault="00F76A05" w:rsidP="00F76A05">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Federal Farm Credit Bank</w:t>
            </w:r>
          </w:p>
        </w:tc>
        <w:tc>
          <w:tcPr>
            <w:tcW w:w="900" w:type="dxa"/>
          </w:tcPr>
          <w:p w:rsidR="00F76A05" w:rsidRPr="00F76A05" w:rsidRDefault="00F76A05" w:rsidP="00C43699">
            <w:pPr>
              <w:autoSpaceDE w:val="0"/>
              <w:autoSpaceDN w:val="0"/>
              <w:adjustRightInd w:val="0"/>
              <w:jc w:val="both"/>
              <w:rPr>
                <w:rFonts w:ascii="Times New Roman" w:eastAsia="Calibri" w:hAnsi="Times New Roman" w:cs="Times New Roman"/>
                <w:color w:val="000000"/>
                <w:sz w:val="21"/>
                <w:szCs w:val="21"/>
              </w:rPr>
            </w:pPr>
            <w:r w:rsidRPr="00F76A05">
              <w:rPr>
                <w:rFonts w:ascii="Times New Roman" w:eastAsia="Calibri" w:hAnsi="Times New Roman" w:cs="Times New Roman"/>
                <w:color w:val="000000"/>
                <w:sz w:val="21"/>
                <w:szCs w:val="21"/>
              </w:rPr>
              <w:t>1</w:t>
            </w:r>
            <w:r w:rsidR="00C43699">
              <w:rPr>
                <w:rFonts w:ascii="Times New Roman" w:eastAsia="Calibri" w:hAnsi="Times New Roman" w:cs="Times New Roman"/>
                <w:color w:val="000000"/>
                <w:sz w:val="21"/>
                <w:szCs w:val="21"/>
              </w:rPr>
              <w:t>0</w:t>
            </w:r>
            <w:r w:rsidRPr="00F76A05">
              <w:rPr>
                <w:rFonts w:ascii="Times New Roman" w:eastAsia="Calibri" w:hAnsi="Times New Roman" w:cs="Times New Roman"/>
                <w:color w:val="000000"/>
                <w:sz w:val="21"/>
                <w:szCs w:val="21"/>
              </w:rPr>
              <w:t>5%</w:t>
            </w:r>
          </w:p>
        </w:tc>
      </w:tr>
    </w:tbl>
    <w:p w:rsidR="00F76A05" w:rsidRPr="00F76A05" w:rsidRDefault="00F76A05" w:rsidP="00F76A05">
      <w:pPr>
        <w:autoSpaceDE w:val="0"/>
        <w:autoSpaceDN w:val="0"/>
        <w:adjustRightInd w:val="0"/>
        <w:spacing w:after="0" w:line="240" w:lineRule="auto"/>
        <w:jc w:val="both"/>
        <w:rPr>
          <w:rFonts w:ascii="Times New Roman" w:eastAsia="Calibri" w:hAnsi="Times New Roman" w:cs="Times New Roman"/>
          <w:color w:val="000000"/>
          <w:sz w:val="21"/>
          <w:szCs w:val="21"/>
        </w:rPr>
      </w:pPr>
    </w:p>
    <w:p w:rsidR="004F1259" w:rsidRPr="00E113F2" w:rsidRDefault="004F1259" w:rsidP="004F1259">
      <w:pPr>
        <w:jc w:val="both"/>
        <w:rPr>
          <w:rFonts w:ascii="Times New Roman" w:hAnsi="Times New Roman" w:cs="Times New Roman"/>
          <w:color w:val="000000"/>
          <w:sz w:val="21"/>
          <w:szCs w:val="21"/>
        </w:rPr>
      </w:pPr>
      <w:r w:rsidRPr="00E113F2">
        <w:rPr>
          <w:rFonts w:ascii="Times New Roman" w:hAnsi="Times New Roman" w:cs="Times New Roman"/>
          <w:color w:val="000000"/>
          <w:sz w:val="21"/>
          <w:szCs w:val="21"/>
        </w:rPr>
        <w:t>In the event of the Qualified Public Depository having a capital adequacy condition of less than “adequately capitalized,” based on criteria established by the Federal Deposit Insurance Corporation, the State Treasurer may, in his discretion, require the above specified margins to be greater.</w:t>
      </w:r>
    </w:p>
    <w:p w:rsidR="00D0768A" w:rsidRDefault="00D0768A" w:rsidP="001878FE">
      <w:pPr>
        <w:pStyle w:val="NoSpacing"/>
        <w:rPr>
          <w:b/>
          <w:bCs/>
        </w:rPr>
      </w:pPr>
    </w:p>
    <w:p w:rsidR="001878FE" w:rsidRPr="00D0768A" w:rsidRDefault="001878FE" w:rsidP="001878FE">
      <w:pPr>
        <w:pStyle w:val="NoSpacing"/>
        <w:rPr>
          <w:b/>
          <w:bCs/>
          <w:sz w:val="28"/>
          <w:szCs w:val="28"/>
        </w:rPr>
      </w:pPr>
      <w:r w:rsidRPr="00D0768A">
        <w:rPr>
          <w:b/>
          <w:bCs/>
          <w:sz w:val="28"/>
          <w:szCs w:val="28"/>
        </w:rPr>
        <w:t>State Treasurer Office Contact Information</w:t>
      </w:r>
    </w:p>
    <w:p w:rsidR="001878FE" w:rsidRPr="001878FE" w:rsidRDefault="001878FE" w:rsidP="001878FE">
      <w:pPr>
        <w:pStyle w:val="NoSpacing"/>
        <w:rPr>
          <w:b/>
          <w:bCs/>
        </w:rPr>
      </w:pPr>
    </w:p>
    <w:p w:rsidR="00F76A05" w:rsidRDefault="003F43E9" w:rsidP="001878FE">
      <w:pPr>
        <w:pStyle w:val="NoSpacing"/>
        <w:rPr>
          <w:bCs/>
        </w:rPr>
      </w:pPr>
      <w:r>
        <w:rPr>
          <w:bCs/>
        </w:rPr>
        <w:t>Office of the State Treasurer</w:t>
      </w:r>
    </w:p>
    <w:p w:rsidR="001878FE" w:rsidRDefault="001878FE" w:rsidP="001878FE">
      <w:pPr>
        <w:pStyle w:val="NoSpacing"/>
        <w:rPr>
          <w:bCs/>
        </w:rPr>
      </w:pPr>
      <w:r>
        <w:rPr>
          <w:bCs/>
        </w:rPr>
        <w:t>Banking Division</w:t>
      </w:r>
    </w:p>
    <w:p w:rsidR="001878FE" w:rsidRDefault="001878FE" w:rsidP="001878FE">
      <w:pPr>
        <w:pStyle w:val="NoSpacing"/>
      </w:pPr>
      <w:r w:rsidRPr="001878FE">
        <w:t>1200 Senate St</w:t>
      </w:r>
      <w:r w:rsidR="00D0768A">
        <w:t>reet</w:t>
      </w:r>
      <w:r w:rsidRPr="001878FE">
        <w:t>, Suite 214</w:t>
      </w:r>
      <w:r w:rsidR="003F43E9">
        <w:br/>
        <w:t>Wade Hampton Building</w:t>
      </w:r>
      <w:r w:rsidRPr="001878FE">
        <w:br/>
        <w:t>Columbia, SC 29201</w:t>
      </w:r>
    </w:p>
    <w:p w:rsidR="001878FE" w:rsidRDefault="001878FE" w:rsidP="001878FE">
      <w:pPr>
        <w:pStyle w:val="NoSpacing"/>
      </w:pPr>
    </w:p>
    <w:p w:rsidR="003F43E9" w:rsidRDefault="003F43E9" w:rsidP="003F43E9">
      <w:pPr>
        <w:rPr>
          <w:b/>
        </w:rPr>
      </w:pPr>
      <w:r>
        <w:rPr>
          <w:b/>
        </w:rPr>
        <w:t>Administrator:</w:t>
      </w:r>
    </w:p>
    <w:p w:rsidR="003F43E9" w:rsidRDefault="003F43E9" w:rsidP="003F43E9">
      <w:r>
        <w:t>Michelle Blanchfield</w:t>
      </w:r>
      <w:r>
        <w:br/>
        <w:t xml:space="preserve">Cash Desk Manager </w:t>
      </w:r>
      <w:r>
        <w:br/>
        <w:t>(803)734-0259</w:t>
      </w:r>
      <w:r>
        <w:br/>
      </w:r>
      <w:hyperlink r:id="rId13" w:history="1">
        <w:r w:rsidRPr="00181F0E">
          <w:rPr>
            <w:rStyle w:val="Hyperlink"/>
          </w:rPr>
          <w:t>michelle.blanchfield@sto.sc.gov</w:t>
        </w:r>
      </w:hyperlink>
    </w:p>
    <w:p w:rsidR="003F43E9" w:rsidRDefault="003F43E9" w:rsidP="003F43E9"/>
    <w:p w:rsidR="003F43E9" w:rsidRDefault="003F43E9" w:rsidP="003F43E9">
      <w:pPr>
        <w:rPr>
          <w:b/>
        </w:rPr>
      </w:pPr>
      <w:r>
        <w:rPr>
          <w:b/>
        </w:rPr>
        <w:t>Division Director:</w:t>
      </w:r>
    </w:p>
    <w:p w:rsidR="001878FE" w:rsidRDefault="003F43E9" w:rsidP="00C81F4D">
      <w:pPr>
        <w:pStyle w:val="NoSpacing"/>
        <w:rPr>
          <w:rStyle w:val="Hyperlink"/>
        </w:rPr>
      </w:pPr>
      <w:r>
        <w:lastRenderedPageBreak/>
        <w:t>Melissa D. Simmons, CPA</w:t>
      </w:r>
      <w:r>
        <w:br/>
        <w:t>Senior Assistant State Treasurer</w:t>
      </w:r>
      <w:r>
        <w:br/>
        <w:t>(803)734-2662</w:t>
      </w:r>
      <w:r>
        <w:br/>
      </w:r>
      <w:hyperlink r:id="rId14" w:history="1">
        <w:r w:rsidRPr="00181F0E">
          <w:rPr>
            <w:rStyle w:val="Hyperlink"/>
          </w:rPr>
          <w:t>Melissa.simmons@sto.sc.gov</w:t>
        </w:r>
      </w:hyperlink>
    </w:p>
    <w:p w:rsidR="00965EDF" w:rsidRDefault="00965EDF" w:rsidP="00C81F4D">
      <w:pPr>
        <w:pStyle w:val="NoSpacing"/>
        <w:rPr>
          <w:rStyle w:val="Hyperlink"/>
        </w:rPr>
      </w:pPr>
    </w:p>
    <w:p w:rsidR="00965EDF" w:rsidRDefault="00965EDF" w:rsidP="00C81F4D">
      <w:pPr>
        <w:pStyle w:val="NoSpacing"/>
        <w:rPr>
          <w:rStyle w:val="Hyperlink"/>
        </w:rPr>
      </w:pPr>
    </w:p>
    <w:p w:rsidR="00965EDF" w:rsidRDefault="00965EDF" w:rsidP="00C81F4D">
      <w:pPr>
        <w:pStyle w:val="NoSpacing"/>
        <w:rPr>
          <w:rStyle w:val="Hyperlink"/>
        </w:rPr>
      </w:pPr>
    </w:p>
    <w:p w:rsidR="00965EDF" w:rsidRDefault="00965EDF" w:rsidP="00C81F4D">
      <w:pPr>
        <w:pStyle w:val="NoSpacing"/>
        <w:rPr>
          <w:rStyle w:val="Hyperlink"/>
        </w:rPr>
      </w:pPr>
    </w:p>
    <w:p w:rsidR="00965EDF" w:rsidRDefault="00965EDF" w:rsidP="00C81F4D">
      <w:pPr>
        <w:pStyle w:val="NoSpacing"/>
      </w:pPr>
    </w:p>
    <w:sectPr w:rsidR="00965ED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85" w:rsidRDefault="00F66285" w:rsidP="003B1314">
      <w:pPr>
        <w:spacing w:after="0" w:line="240" w:lineRule="auto"/>
      </w:pPr>
      <w:r>
        <w:separator/>
      </w:r>
    </w:p>
  </w:endnote>
  <w:endnote w:type="continuationSeparator" w:id="0">
    <w:p w:rsidR="00F66285" w:rsidRDefault="00F66285" w:rsidP="003B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14084"/>
      <w:docPartObj>
        <w:docPartGallery w:val="Page Numbers (Bottom of Page)"/>
        <w:docPartUnique/>
      </w:docPartObj>
    </w:sdtPr>
    <w:sdtEndPr>
      <w:rPr>
        <w:noProof/>
      </w:rPr>
    </w:sdtEndPr>
    <w:sdtContent>
      <w:p w:rsidR="00385680" w:rsidRDefault="00385680">
        <w:pPr>
          <w:pStyle w:val="Footer"/>
          <w:jc w:val="center"/>
        </w:pPr>
        <w:r>
          <w:fldChar w:fldCharType="begin"/>
        </w:r>
        <w:r>
          <w:instrText xml:space="preserve"> PAGE   \* MERGEFORMAT </w:instrText>
        </w:r>
        <w:r>
          <w:fldChar w:fldCharType="separate"/>
        </w:r>
        <w:r w:rsidR="005C27B9">
          <w:rPr>
            <w:noProof/>
          </w:rPr>
          <w:t>1</w:t>
        </w:r>
        <w:r>
          <w:rPr>
            <w:noProof/>
          </w:rPr>
          <w:fldChar w:fldCharType="end"/>
        </w:r>
      </w:p>
    </w:sdtContent>
  </w:sdt>
  <w:p w:rsidR="00385680" w:rsidRDefault="0038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85" w:rsidRDefault="00F66285" w:rsidP="003B1314">
      <w:pPr>
        <w:spacing w:after="0" w:line="240" w:lineRule="auto"/>
      </w:pPr>
      <w:r>
        <w:separator/>
      </w:r>
    </w:p>
  </w:footnote>
  <w:footnote w:type="continuationSeparator" w:id="0">
    <w:p w:rsidR="00F66285" w:rsidRDefault="00F66285" w:rsidP="003B1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C94403"/>
    <w:multiLevelType w:val="hybridMultilevel"/>
    <w:tmpl w:val="BF54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F78"/>
    <w:multiLevelType w:val="hybridMultilevel"/>
    <w:tmpl w:val="542A4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32338"/>
    <w:multiLevelType w:val="hybridMultilevel"/>
    <w:tmpl w:val="8E5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D37C8"/>
    <w:multiLevelType w:val="hybridMultilevel"/>
    <w:tmpl w:val="5562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92681"/>
    <w:multiLevelType w:val="multilevel"/>
    <w:tmpl w:val="A9746B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E6126"/>
    <w:multiLevelType w:val="hybridMultilevel"/>
    <w:tmpl w:val="5EDE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655F2"/>
    <w:multiLevelType w:val="hybridMultilevel"/>
    <w:tmpl w:val="DF24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C1346"/>
    <w:multiLevelType w:val="hybridMultilevel"/>
    <w:tmpl w:val="B406E928"/>
    <w:lvl w:ilvl="0" w:tplc="04090001">
      <w:start w:val="1"/>
      <w:numFmt w:val="bullet"/>
      <w:lvlText w:val=""/>
      <w:lvlJc w:val="left"/>
      <w:pPr>
        <w:ind w:left="720" w:hanging="360"/>
      </w:pPr>
      <w:rPr>
        <w:rFonts w:ascii="Symbol" w:hAnsi="Symbol" w:hint="default"/>
      </w:rPr>
    </w:lvl>
    <w:lvl w:ilvl="1" w:tplc="37E4A73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75155"/>
    <w:multiLevelType w:val="hybridMultilevel"/>
    <w:tmpl w:val="DFF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36BAF"/>
    <w:multiLevelType w:val="hybridMultilevel"/>
    <w:tmpl w:val="AF52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326A8"/>
    <w:multiLevelType w:val="hybridMultilevel"/>
    <w:tmpl w:val="458E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8"/>
  </w:num>
  <w:num w:numId="6">
    <w:abstractNumId w:val="10"/>
  </w:num>
  <w:num w:numId="7">
    <w:abstractNumId w:val="9"/>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2E"/>
    <w:rsid w:val="00017182"/>
    <w:rsid w:val="0002362E"/>
    <w:rsid w:val="00057B04"/>
    <w:rsid w:val="00073810"/>
    <w:rsid w:val="00074B69"/>
    <w:rsid w:val="00086F81"/>
    <w:rsid w:val="000A6BCB"/>
    <w:rsid w:val="000A7158"/>
    <w:rsid w:val="000E4F76"/>
    <w:rsid w:val="000E7C15"/>
    <w:rsid w:val="000F5A9B"/>
    <w:rsid w:val="00105D5C"/>
    <w:rsid w:val="0012220A"/>
    <w:rsid w:val="00142DDD"/>
    <w:rsid w:val="00166478"/>
    <w:rsid w:val="00177A5B"/>
    <w:rsid w:val="001878FE"/>
    <w:rsid w:val="001A34F7"/>
    <w:rsid w:val="001B069A"/>
    <w:rsid w:val="001D3A33"/>
    <w:rsid w:val="00205453"/>
    <w:rsid w:val="00207A42"/>
    <w:rsid w:val="00226A7D"/>
    <w:rsid w:val="0024764D"/>
    <w:rsid w:val="002501AA"/>
    <w:rsid w:val="00251FF6"/>
    <w:rsid w:val="002C45C5"/>
    <w:rsid w:val="002F50A0"/>
    <w:rsid w:val="00301B65"/>
    <w:rsid w:val="00303B59"/>
    <w:rsid w:val="00353F57"/>
    <w:rsid w:val="00354A77"/>
    <w:rsid w:val="00372362"/>
    <w:rsid w:val="00385680"/>
    <w:rsid w:val="003901D5"/>
    <w:rsid w:val="00395407"/>
    <w:rsid w:val="003B1314"/>
    <w:rsid w:val="003C7E3C"/>
    <w:rsid w:val="003F43E9"/>
    <w:rsid w:val="003F7A8B"/>
    <w:rsid w:val="004115F9"/>
    <w:rsid w:val="0044674C"/>
    <w:rsid w:val="00454B72"/>
    <w:rsid w:val="0047724B"/>
    <w:rsid w:val="00483117"/>
    <w:rsid w:val="00490114"/>
    <w:rsid w:val="004A4874"/>
    <w:rsid w:val="004E1BE5"/>
    <w:rsid w:val="004F1259"/>
    <w:rsid w:val="00537D2E"/>
    <w:rsid w:val="0055485D"/>
    <w:rsid w:val="00561CC0"/>
    <w:rsid w:val="00571766"/>
    <w:rsid w:val="00580EFB"/>
    <w:rsid w:val="005C27B9"/>
    <w:rsid w:val="005C58BB"/>
    <w:rsid w:val="005F5611"/>
    <w:rsid w:val="006241A9"/>
    <w:rsid w:val="006608DD"/>
    <w:rsid w:val="006671FE"/>
    <w:rsid w:val="00683826"/>
    <w:rsid w:val="00694738"/>
    <w:rsid w:val="006A2FE6"/>
    <w:rsid w:val="006A6BAA"/>
    <w:rsid w:val="006C4DBE"/>
    <w:rsid w:val="006D2AAD"/>
    <w:rsid w:val="006D64B5"/>
    <w:rsid w:val="006E22B9"/>
    <w:rsid w:val="006F562C"/>
    <w:rsid w:val="00737C0C"/>
    <w:rsid w:val="0077760A"/>
    <w:rsid w:val="00784C2B"/>
    <w:rsid w:val="007901A4"/>
    <w:rsid w:val="007C0905"/>
    <w:rsid w:val="007D33AA"/>
    <w:rsid w:val="00822995"/>
    <w:rsid w:val="008262E8"/>
    <w:rsid w:val="0083091F"/>
    <w:rsid w:val="00835FD9"/>
    <w:rsid w:val="00846556"/>
    <w:rsid w:val="00860D85"/>
    <w:rsid w:val="008732C4"/>
    <w:rsid w:val="00876D63"/>
    <w:rsid w:val="00890A07"/>
    <w:rsid w:val="00893FE8"/>
    <w:rsid w:val="008D4676"/>
    <w:rsid w:val="008E2404"/>
    <w:rsid w:val="008F6C74"/>
    <w:rsid w:val="009011A6"/>
    <w:rsid w:val="00910144"/>
    <w:rsid w:val="00921DF3"/>
    <w:rsid w:val="009476BE"/>
    <w:rsid w:val="00957D0A"/>
    <w:rsid w:val="00965EDF"/>
    <w:rsid w:val="009822BE"/>
    <w:rsid w:val="0098337A"/>
    <w:rsid w:val="00987433"/>
    <w:rsid w:val="009E59CF"/>
    <w:rsid w:val="00A2705F"/>
    <w:rsid w:val="00A30CD0"/>
    <w:rsid w:val="00A55F84"/>
    <w:rsid w:val="00A64DCE"/>
    <w:rsid w:val="00A663DF"/>
    <w:rsid w:val="00A95AB7"/>
    <w:rsid w:val="00AC0875"/>
    <w:rsid w:val="00AD41D0"/>
    <w:rsid w:val="00AE2D12"/>
    <w:rsid w:val="00B346EF"/>
    <w:rsid w:val="00B634D7"/>
    <w:rsid w:val="00BE7037"/>
    <w:rsid w:val="00C43699"/>
    <w:rsid w:val="00C62DB4"/>
    <w:rsid w:val="00C81F4D"/>
    <w:rsid w:val="00CA2EA4"/>
    <w:rsid w:val="00CB6B63"/>
    <w:rsid w:val="00CD7469"/>
    <w:rsid w:val="00D03DA3"/>
    <w:rsid w:val="00D0448A"/>
    <w:rsid w:val="00D0591A"/>
    <w:rsid w:val="00D0768A"/>
    <w:rsid w:val="00D3206D"/>
    <w:rsid w:val="00D36C42"/>
    <w:rsid w:val="00D57A8E"/>
    <w:rsid w:val="00D60AB7"/>
    <w:rsid w:val="00DA08AA"/>
    <w:rsid w:val="00DB4F01"/>
    <w:rsid w:val="00DE49EC"/>
    <w:rsid w:val="00E232D8"/>
    <w:rsid w:val="00E2727C"/>
    <w:rsid w:val="00E3007B"/>
    <w:rsid w:val="00E77DD3"/>
    <w:rsid w:val="00EA5A9B"/>
    <w:rsid w:val="00EF365C"/>
    <w:rsid w:val="00EF47E8"/>
    <w:rsid w:val="00F0343F"/>
    <w:rsid w:val="00F051EB"/>
    <w:rsid w:val="00F13DD6"/>
    <w:rsid w:val="00F46BB1"/>
    <w:rsid w:val="00F50C60"/>
    <w:rsid w:val="00F66285"/>
    <w:rsid w:val="00F6697D"/>
    <w:rsid w:val="00F72A0F"/>
    <w:rsid w:val="00F765B5"/>
    <w:rsid w:val="00F76A05"/>
    <w:rsid w:val="00F9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964C746-1A47-4993-A00A-D89AEC1E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62E"/>
    <w:pPr>
      <w:spacing w:after="0" w:line="240" w:lineRule="auto"/>
    </w:pPr>
  </w:style>
  <w:style w:type="paragraph" w:styleId="BalloonText">
    <w:name w:val="Balloon Text"/>
    <w:basedOn w:val="Normal"/>
    <w:link w:val="BalloonTextChar"/>
    <w:uiPriority w:val="99"/>
    <w:semiHidden/>
    <w:unhideWhenUsed/>
    <w:rsid w:val="00D0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A3"/>
    <w:rPr>
      <w:rFonts w:ascii="Tahoma" w:hAnsi="Tahoma" w:cs="Tahoma"/>
      <w:sz w:val="16"/>
      <w:szCs w:val="16"/>
    </w:rPr>
  </w:style>
  <w:style w:type="character" w:styleId="Hyperlink">
    <w:name w:val="Hyperlink"/>
    <w:basedOn w:val="DefaultParagraphFont"/>
    <w:uiPriority w:val="99"/>
    <w:unhideWhenUsed/>
    <w:rsid w:val="00142DDD"/>
    <w:rPr>
      <w:color w:val="0000FF" w:themeColor="hyperlink"/>
      <w:u w:val="single"/>
    </w:rPr>
  </w:style>
  <w:style w:type="table" w:customStyle="1" w:styleId="TableGrid1">
    <w:name w:val="Table Grid1"/>
    <w:basedOn w:val="TableNormal"/>
    <w:next w:val="TableGrid"/>
    <w:uiPriority w:val="39"/>
    <w:rsid w:val="00F7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7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14"/>
  </w:style>
  <w:style w:type="paragraph" w:styleId="Footer">
    <w:name w:val="footer"/>
    <w:basedOn w:val="Normal"/>
    <w:link w:val="FooterChar"/>
    <w:uiPriority w:val="99"/>
    <w:unhideWhenUsed/>
    <w:rsid w:val="003B1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14"/>
  </w:style>
  <w:style w:type="character" w:styleId="CommentReference">
    <w:name w:val="annotation reference"/>
    <w:basedOn w:val="DefaultParagraphFont"/>
    <w:uiPriority w:val="99"/>
    <w:semiHidden/>
    <w:unhideWhenUsed/>
    <w:rsid w:val="00E232D8"/>
    <w:rPr>
      <w:sz w:val="16"/>
      <w:szCs w:val="16"/>
    </w:rPr>
  </w:style>
  <w:style w:type="paragraph" w:styleId="CommentText">
    <w:name w:val="annotation text"/>
    <w:basedOn w:val="Normal"/>
    <w:link w:val="CommentTextChar"/>
    <w:uiPriority w:val="99"/>
    <w:semiHidden/>
    <w:unhideWhenUsed/>
    <w:rsid w:val="00E232D8"/>
    <w:pPr>
      <w:spacing w:line="240" w:lineRule="auto"/>
    </w:pPr>
    <w:rPr>
      <w:sz w:val="20"/>
      <w:szCs w:val="20"/>
    </w:rPr>
  </w:style>
  <w:style w:type="character" w:customStyle="1" w:styleId="CommentTextChar">
    <w:name w:val="Comment Text Char"/>
    <w:basedOn w:val="DefaultParagraphFont"/>
    <w:link w:val="CommentText"/>
    <w:uiPriority w:val="99"/>
    <w:semiHidden/>
    <w:rsid w:val="00E232D8"/>
    <w:rPr>
      <w:sz w:val="20"/>
      <w:szCs w:val="20"/>
    </w:rPr>
  </w:style>
  <w:style w:type="paragraph" w:styleId="CommentSubject">
    <w:name w:val="annotation subject"/>
    <w:basedOn w:val="CommentText"/>
    <w:next w:val="CommentText"/>
    <w:link w:val="CommentSubjectChar"/>
    <w:uiPriority w:val="99"/>
    <w:semiHidden/>
    <w:unhideWhenUsed/>
    <w:rsid w:val="00E232D8"/>
    <w:rPr>
      <w:b/>
      <w:bCs/>
    </w:rPr>
  </w:style>
  <w:style w:type="character" w:customStyle="1" w:styleId="CommentSubjectChar">
    <w:name w:val="Comment Subject Char"/>
    <w:basedOn w:val="CommentTextChar"/>
    <w:link w:val="CommentSubject"/>
    <w:uiPriority w:val="99"/>
    <w:semiHidden/>
    <w:rsid w:val="00E232D8"/>
    <w:rPr>
      <w:b/>
      <w:bCs/>
      <w:sz w:val="20"/>
      <w:szCs w:val="20"/>
    </w:rPr>
  </w:style>
  <w:style w:type="paragraph" w:styleId="ListParagraph">
    <w:name w:val="List Paragraph"/>
    <w:basedOn w:val="Normal"/>
    <w:uiPriority w:val="34"/>
    <w:qFormat/>
    <w:rsid w:val="003F43E9"/>
    <w:pPr>
      <w:spacing w:after="160" w:line="259" w:lineRule="auto"/>
      <w:ind w:left="720"/>
      <w:contextualSpacing/>
    </w:pPr>
  </w:style>
  <w:style w:type="character" w:styleId="UnresolvedMention">
    <w:name w:val="Unresolved Mention"/>
    <w:basedOn w:val="DefaultParagraphFont"/>
    <w:uiPriority w:val="99"/>
    <w:semiHidden/>
    <w:unhideWhenUsed/>
    <w:rsid w:val="00965E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ichelle.blanchfield@sto.s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file:///\\wsrfilecifs\stoshares\everyone\BANKING%20DIVISION\Cash%20Management\Collateral\Copy%20of%20Federal%20Financial%20Data%20for%20banks%20for%20associated%20colleteral.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file:///\\wsrfilecifs\stoshares\everyone\BANKING%20DIVISION\Cash%20Management\Securities\Collateral%20Pooling%20Workbook.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elissa.simmons@st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FF17-06B7-4B73-A294-86B8EF6F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Reavis, David</dc:creator>
  <cp:lastModifiedBy>Holcombe, Kelly</cp:lastModifiedBy>
  <cp:revision>3</cp:revision>
  <cp:lastPrinted>2018-11-06T16:52:00Z</cp:lastPrinted>
  <dcterms:created xsi:type="dcterms:W3CDTF">2018-11-21T14:33:00Z</dcterms:created>
  <dcterms:modified xsi:type="dcterms:W3CDTF">2018-11-21T14:40:00Z</dcterms:modified>
</cp:coreProperties>
</file>