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9E0767" w14:textId="71F15BBC" w:rsidR="008F589C" w:rsidRPr="00C313BF" w:rsidRDefault="008F589C" w:rsidP="008F589C">
      <w:pPr>
        <w:rPr>
          <w:b/>
          <w:bCs/>
          <w:sz w:val="28"/>
          <w:szCs w:val="28"/>
        </w:rPr>
      </w:pPr>
      <w:r w:rsidRPr="00C313BF">
        <w:rPr>
          <w:b/>
          <w:bCs/>
          <w:sz w:val="28"/>
          <w:szCs w:val="28"/>
        </w:rPr>
        <w:t xml:space="preserve">Flexibility </w:t>
      </w:r>
      <w:r w:rsidR="00920EA4">
        <w:rPr>
          <w:b/>
          <w:bCs/>
          <w:sz w:val="28"/>
          <w:szCs w:val="28"/>
        </w:rPr>
        <w:t xml:space="preserve">is </w:t>
      </w:r>
      <w:r w:rsidRPr="00C313BF">
        <w:rPr>
          <w:b/>
          <w:bCs/>
          <w:sz w:val="28"/>
          <w:szCs w:val="28"/>
        </w:rPr>
        <w:t>Future Scholar</w:t>
      </w:r>
      <w:r w:rsidR="00920EA4">
        <w:rPr>
          <w:b/>
          <w:bCs/>
          <w:sz w:val="28"/>
          <w:szCs w:val="28"/>
        </w:rPr>
        <w:t>’s Greatest Benefit</w:t>
      </w:r>
    </w:p>
    <w:p w14:paraId="126BA28A" w14:textId="2582DE7C" w:rsidR="008F589C" w:rsidRPr="00C313BF" w:rsidRDefault="008F589C" w:rsidP="008F589C">
      <w:pPr>
        <w:rPr>
          <w:sz w:val="28"/>
          <w:szCs w:val="28"/>
        </w:rPr>
      </w:pPr>
      <w:r w:rsidRPr="00C313BF">
        <w:rPr>
          <w:sz w:val="28"/>
          <w:szCs w:val="28"/>
        </w:rPr>
        <w:t>There’s no denying that it’s impossible to predict what the future will bring. But having a smart plan can help you influence just how bright the future will be for you and your family.</w:t>
      </w:r>
    </w:p>
    <w:p w14:paraId="464735D7" w14:textId="2257C326" w:rsidR="008F589C" w:rsidRPr="00C313BF" w:rsidRDefault="008F589C" w:rsidP="008F589C">
      <w:pPr>
        <w:rPr>
          <w:sz w:val="28"/>
          <w:szCs w:val="28"/>
        </w:rPr>
      </w:pPr>
      <w:r w:rsidRPr="00C313BF">
        <w:rPr>
          <w:sz w:val="28"/>
          <w:szCs w:val="28"/>
        </w:rPr>
        <w:t xml:space="preserve">If your vision for your family includes a child’s future education, investing in </w:t>
      </w:r>
      <w:r w:rsidR="00920EA4">
        <w:rPr>
          <w:sz w:val="28"/>
          <w:szCs w:val="28"/>
        </w:rPr>
        <w:t>Sou</w:t>
      </w:r>
      <w:r w:rsidRPr="00C313BF">
        <w:rPr>
          <w:sz w:val="28"/>
          <w:szCs w:val="28"/>
        </w:rPr>
        <w:t>th</w:t>
      </w:r>
      <w:r w:rsidR="00920EA4">
        <w:rPr>
          <w:sz w:val="28"/>
          <w:szCs w:val="28"/>
        </w:rPr>
        <w:t xml:space="preserve"> Carolina’s</w:t>
      </w:r>
      <w:r w:rsidRPr="00C313BF">
        <w:rPr>
          <w:sz w:val="28"/>
          <w:szCs w:val="28"/>
        </w:rPr>
        <w:t> </w:t>
      </w:r>
      <w:hyperlink r:id="rId7" w:tooltip="Future Scholar" w:history="1">
        <w:r w:rsidRPr="00C313BF">
          <w:rPr>
            <w:rStyle w:val="Hyperlink"/>
            <w:sz w:val="28"/>
            <w:szCs w:val="28"/>
          </w:rPr>
          <w:t>Future Scholar 529 Plan</w:t>
        </w:r>
      </w:hyperlink>
      <w:r w:rsidRPr="00C313BF">
        <w:rPr>
          <w:sz w:val="28"/>
          <w:szCs w:val="28"/>
        </w:rPr>
        <w:t> will provide the flexibility you need to help you achieve that important goal.</w:t>
      </w:r>
    </w:p>
    <w:p w14:paraId="2FAD7256" w14:textId="6AA087F5" w:rsidR="009F1324" w:rsidRPr="00C313BF" w:rsidRDefault="00920EA4" w:rsidP="008F589C">
      <w:pPr>
        <w:rPr>
          <w:sz w:val="28"/>
          <w:szCs w:val="28"/>
        </w:rPr>
      </w:pPr>
      <w:r>
        <w:rPr>
          <w:sz w:val="28"/>
          <w:szCs w:val="28"/>
        </w:rPr>
        <w:t>How f</w:t>
      </w:r>
      <w:r w:rsidR="009F1324" w:rsidRPr="00C313BF">
        <w:rPr>
          <w:sz w:val="28"/>
          <w:szCs w:val="28"/>
        </w:rPr>
        <w:t>lexible</w:t>
      </w:r>
      <w:r>
        <w:rPr>
          <w:sz w:val="28"/>
          <w:szCs w:val="28"/>
        </w:rPr>
        <w:t xml:space="preserve"> is it</w:t>
      </w:r>
      <w:r w:rsidR="009F1324" w:rsidRPr="00C313BF">
        <w:rPr>
          <w:sz w:val="28"/>
          <w:szCs w:val="28"/>
        </w:rPr>
        <w:t xml:space="preserve">? Let’s </w:t>
      </w:r>
      <w:proofErr w:type="gramStart"/>
      <w:r w:rsidR="009F1324" w:rsidRPr="00C313BF">
        <w:rPr>
          <w:sz w:val="28"/>
          <w:szCs w:val="28"/>
        </w:rPr>
        <w:t>take a look</w:t>
      </w:r>
      <w:proofErr w:type="gramEnd"/>
      <w:r w:rsidR="009F1324" w:rsidRPr="00C313BF">
        <w:rPr>
          <w:sz w:val="28"/>
          <w:szCs w:val="28"/>
        </w:rPr>
        <w:t xml:space="preserve">: </w:t>
      </w:r>
    </w:p>
    <w:p w14:paraId="24A8A9C2" w14:textId="77777777" w:rsidR="009F1324" w:rsidRPr="00C313BF" w:rsidRDefault="009F1324" w:rsidP="009F1324">
      <w:pPr>
        <w:rPr>
          <w:b/>
          <w:bCs/>
          <w:sz w:val="28"/>
          <w:szCs w:val="28"/>
        </w:rPr>
      </w:pPr>
      <w:r w:rsidRPr="00C313BF">
        <w:rPr>
          <w:b/>
          <w:bCs/>
          <w:sz w:val="28"/>
          <w:szCs w:val="28"/>
        </w:rPr>
        <w:t>1. Flexible in </w:t>
      </w:r>
      <w:r w:rsidRPr="00C313BF">
        <w:rPr>
          <w:b/>
          <w:bCs/>
          <w:i/>
          <w:iCs/>
          <w:sz w:val="28"/>
          <w:szCs w:val="28"/>
        </w:rPr>
        <w:t>How You Contribute</w:t>
      </w:r>
    </w:p>
    <w:p w14:paraId="75854600" w14:textId="4B4E8DCB" w:rsidR="009F1324" w:rsidRPr="00C313BF" w:rsidRDefault="009F1324" w:rsidP="009F1324">
      <w:pPr>
        <w:rPr>
          <w:sz w:val="28"/>
          <w:szCs w:val="28"/>
        </w:rPr>
      </w:pPr>
      <w:r w:rsidRPr="00C313BF">
        <w:rPr>
          <w:sz w:val="28"/>
          <w:szCs w:val="28"/>
        </w:rPr>
        <w:t>With Future Scholar, there’s no minimum amount necessary to open an account, and you can make contributions as your family’s budget allows.</w:t>
      </w:r>
    </w:p>
    <w:p w14:paraId="6DDB2BFE" w14:textId="2B8C9F84" w:rsidR="00920EA4" w:rsidRDefault="009F1324" w:rsidP="009F1324">
      <w:pPr>
        <w:rPr>
          <w:sz w:val="28"/>
          <w:szCs w:val="28"/>
        </w:rPr>
      </w:pPr>
      <w:r w:rsidRPr="00C313BF">
        <w:rPr>
          <w:sz w:val="28"/>
          <w:szCs w:val="28"/>
        </w:rPr>
        <w:t>An</w:t>
      </w:r>
      <w:r w:rsidR="00920EA4">
        <w:rPr>
          <w:sz w:val="28"/>
          <w:szCs w:val="28"/>
        </w:rPr>
        <w:t>d you don’t have to do it alone. An</w:t>
      </w:r>
      <w:r w:rsidRPr="00C313BF">
        <w:rPr>
          <w:sz w:val="28"/>
          <w:szCs w:val="28"/>
        </w:rPr>
        <w:t>yone, including parents, grandparents, as well as other family and friends, can contribute to a</w:t>
      </w:r>
      <w:r w:rsidR="00920EA4">
        <w:rPr>
          <w:sz w:val="28"/>
          <w:szCs w:val="28"/>
        </w:rPr>
        <w:t xml:space="preserve"> Future Scholar</w:t>
      </w:r>
      <w:r w:rsidRPr="00C313BF">
        <w:rPr>
          <w:sz w:val="28"/>
          <w:szCs w:val="28"/>
        </w:rPr>
        <w:t xml:space="preserve"> account, and contributions can be made by check, through a one-time bank draft or by setting up a recurring payment from your bank account.</w:t>
      </w:r>
      <w:r w:rsidR="00920EA4">
        <w:rPr>
          <w:sz w:val="28"/>
          <w:szCs w:val="28"/>
        </w:rPr>
        <w:t xml:space="preserve"> </w:t>
      </w:r>
    </w:p>
    <w:p w14:paraId="14DB55A1" w14:textId="41FE4851" w:rsidR="009F1324" w:rsidRPr="00C313BF" w:rsidRDefault="00920EA4" w:rsidP="009F1324">
      <w:pPr>
        <w:rPr>
          <w:sz w:val="28"/>
          <w:szCs w:val="28"/>
        </w:rPr>
      </w:pPr>
      <w:proofErr w:type="gramStart"/>
      <w:r>
        <w:rPr>
          <w:sz w:val="28"/>
          <w:szCs w:val="28"/>
        </w:rPr>
        <w:t>Plus</w:t>
      </w:r>
      <w:proofErr w:type="gramEnd"/>
      <w:r>
        <w:rPr>
          <w:sz w:val="28"/>
          <w:szCs w:val="28"/>
        </w:rPr>
        <w:t xml:space="preserve"> all who contribute to a Future Scholar plan can deduct that amount from their South Carolina state income tax return.</w:t>
      </w:r>
    </w:p>
    <w:p w14:paraId="3B83420C" w14:textId="77777777" w:rsidR="009F1324" w:rsidRPr="00C313BF" w:rsidRDefault="009F1324" w:rsidP="009F1324">
      <w:pPr>
        <w:rPr>
          <w:b/>
          <w:bCs/>
          <w:sz w:val="28"/>
          <w:szCs w:val="28"/>
        </w:rPr>
      </w:pPr>
      <w:r w:rsidRPr="00C313BF">
        <w:rPr>
          <w:b/>
          <w:bCs/>
          <w:sz w:val="28"/>
          <w:szCs w:val="28"/>
        </w:rPr>
        <w:t>2. Flexible in </w:t>
      </w:r>
      <w:r w:rsidRPr="00C313BF">
        <w:rPr>
          <w:b/>
          <w:bCs/>
          <w:i/>
          <w:iCs/>
          <w:sz w:val="28"/>
          <w:szCs w:val="28"/>
        </w:rPr>
        <w:t>the Way You Invest</w:t>
      </w:r>
    </w:p>
    <w:p w14:paraId="676C6D68" w14:textId="0E8347E9" w:rsidR="009F1324" w:rsidRPr="00C313BF" w:rsidRDefault="00920EA4" w:rsidP="00A61DD3">
      <w:pPr>
        <w:rPr>
          <w:sz w:val="28"/>
          <w:szCs w:val="28"/>
        </w:rPr>
      </w:pPr>
      <w:r>
        <w:rPr>
          <w:sz w:val="28"/>
          <w:szCs w:val="28"/>
        </w:rPr>
        <w:t xml:space="preserve">Not an investment guru? You don’t need to be. </w:t>
      </w:r>
      <w:r w:rsidR="009F1324" w:rsidRPr="00C313BF">
        <w:rPr>
          <w:sz w:val="28"/>
          <w:szCs w:val="28"/>
        </w:rPr>
        <w:t>Future Scholar offers </w:t>
      </w:r>
      <w:hyperlink r:id="rId8" w:tooltip="Future Scholar Direct Plan" w:history="1">
        <w:r w:rsidR="009F1324" w:rsidRPr="00C313BF">
          <w:rPr>
            <w:rStyle w:val="Hyperlink"/>
            <w:sz w:val="28"/>
            <w:szCs w:val="28"/>
          </w:rPr>
          <w:t>three convenient ways to invest</w:t>
        </w:r>
      </w:hyperlink>
      <w:r w:rsidR="00A61DD3" w:rsidRPr="00C313BF">
        <w:rPr>
          <w:sz w:val="28"/>
          <w:szCs w:val="28"/>
        </w:rPr>
        <w:t xml:space="preserve"> – age-based, target allocation and single-fund options –</w:t>
      </w:r>
      <w:r w:rsidR="009F1324" w:rsidRPr="00C313BF">
        <w:rPr>
          <w:sz w:val="28"/>
          <w:szCs w:val="28"/>
        </w:rPr>
        <w:t xml:space="preserve"> so you’re sure to have an option that’s simple to use and fits your needs and objectives perfectly</w:t>
      </w:r>
      <w:r w:rsidR="00A61DD3" w:rsidRPr="00C313BF">
        <w:rPr>
          <w:sz w:val="28"/>
          <w:szCs w:val="28"/>
        </w:rPr>
        <w:t>.</w:t>
      </w:r>
    </w:p>
    <w:p w14:paraId="6BA62E28" w14:textId="77777777" w:rsidR="009F1324" w:rsidRPr="00C313BF" w:rsidRDefault="009F1324" w:rsidP="009F1324">
      <w:pPr>
        <w:rPr>
          <w:b/>
          <w:bCs/>
          <w:sz w:val="28"/>
          <w:szCs w:val="28"/>
        </w:rPr>
      </w:pPr>
      <w:r w:rsidRPr="00C313BF">
        <w:rPr>
          <w:b/>
          <w:bCs/>
          <w:sz w:val="28"/>
          <w:szCs w:val="28"/>
        </w:rPr>
        <w:t>3. Flexible in </w:t>
      </w:r>
      <w:r w:rsidRPr="00C313BF">
        <w:rPr>
          <w:b/>
          <w:bCs/>
          <w:i/>
          <w:iCs/>
          <w:sz w:val="28"/>
          <w:szCs w:val="28"/>
        </w:rPr>
        <w:t>Where You Use the Funds</w:t>
      </w:r>
    </w:p>
    <w:p w14:paraId="61459EDA" w14:textId="75CDD998" w:rsidR="009F1324" w:rsidRPr="00C313BF" w:rsidRDefault="009F1324" w:rsidP="009F1324">
      <w:pPr>
        <w:rPr>
          <w:sz w:val="28"/>
          <w:szCs w:val="28"/>
        </w:rPr>
      </w:pPr>
      <w:r w:rsidRPr="00C313BF">
        <w:rPr>
          <w:sz w:val="28"/>
          <w:szCs w:val="28"/>
        </w:rPr>
        <w:t xml:space="preserve">While you can </w:t>
      </w:r>
      <w:proofErr w:type="gramStart"/>
      <w:r w:rsidRPr="00C313BF">
        <w:rPr>
          <w:sz w:val="28"/>
          <w:szCs w:val="28"/>
        </w:rPr>
        <w:t>plan ahead</w:t>
      </w:r>
      <w:proofErr w:type="gramEnd"/>
      <w:r w:rsidRPr="00C313BF">
        <w:rPr>
          <w:sz w:val="28"/>
          <w:szCs w:val="28"/>
        </w:rPr>
        <w:t xml:space="preserve"> for your child’s education, you can’t always predict what your child’s dreams and goals will be. That’s why Future Scholar provides the flexibility to use your funds at any accredited school in the country and many international schools</w:t>
      </w:r>
      <w:r w:rsidR="00A61DD3" w:rsidRPr="00C313BF">
        <w:rPr>
          <w:sz w:val="28"/>
          <w:szCs w:val="28"/>
        </w:rPr>
        <w:t xml:space="preserve">, including two-year and four-year colleges and universities, technical schools and graduate programs. </w:t>
      </w:r>
    </w:p>
    <w:p w14:paraId="46EC07CF" w14:textId="77777777" w:rsidR="009F1324" w:rsidRDefault="009F1324" w:rsidP="009F1324">
      <w:pPr>
        <w:rPr>
          <w:sz w:val="28"/>
          <w:szCs w:val="28"/>
        </w:rPr>
      </w:pPr>
      <w:r w:rsidRPr="00C313BF">
        <w:rPr>
          <w:sz w:val="28"/>
          <w:szCs w:val="28"/>
        </w:rPr>
        <w:t xml:space="preserve">Is it your child’s dream to create mouth-watering gastronomical delights? Then, use Future Scholar savings for your budding chef’s culinary school tuition and </w:t>
      </w:r>
      <w:r w:rsidRPr="00C313BF">
        <w:rPr>
          <w:sz w:val="28"/>
          <w:szCs w:val="28"/>
        </w:rPr>
        <w:lastRenderedPageBreak/>
        <w:t>supplies. Or perhaps you’d like to use your savings on a qualified apprenticeship that teaches specific skills your child hopes to master.</w:t>
      </w:r>
    </w:p>
    <w:p w14:paraId="69D4AF2A" w14:textId="3705B7D5" w:rsidR="00920EA4" w:rsidRPr="00C313BF" w:rsidRDefault="00920EA4" w:rsidP="009F1324">
      <w:pPr>
        <w:rPr>
          <w:sz w:val="28"/>
          <w:szCs w:val="28"/>
        </w:rPr>
      </w:pPr>
      <w:r>
        <w:rPr>
          <w:sz w:val="28"/>
          <w:szCs w:val="28"/>
        </w:rPr>
        <w:t>Thanks to recent changes at the federal level, 529 funds can also be used for K-12 tuition at charter and private schools, to help pay down student loans (up to $10,000)</w:t>
      </w:r>
      <w:r w:rsidR="00037C3E">
        <w:rPr>
          <w:sz w:val="28"/>
          <w:szCs w:val="28"/>
        </w:rPr>
        <w:t xml:space="preserve"> and more recently, unused funds can be rolled over to a Roth IRA. </w:t>
      </w:r>
    </w:p>
    <w:p w14:paraId="67F45847" w14:textId="77777777" w:rsidR="009F1324" w:rsidRPr="00C313BF" w:rsidRDefault="009F1324" w:rsidP="009F1324">
      <w:pPr>
        <w:rPr>
          <w:b/>
          <w:bCs/>
          <w:sz w:val="28"/>
          <w:szCs w:val="28"/>
        </w:rPr>
      </w:pPr>
      <w:r w:rsidRPr="00C313BF">
        <w:rPr>
          <w:b/>
          <w:bCs/>
          <w:sz w:val="28"/>
          <w:szCs w:val="28"/>
        </w:rPr>
        <w:t>4. Flexible in </w:t>
      </w:r>
      <w:r w:rsidRPr="00C313BF">
        <w:rPr>
          <w:b/>
          <w:bCs/>
          <w:i/>
          <w:iCs/>
          <w:sz w:val="28"/>
          <w:szCs w:val="28"/>
        </w:rPr>
        <w:t>How You Use the Funds</w:t>
      </w:r>
    </w:p>
    <w:p w14:paraId="23EB91F5" w14:textId="77777777" w:rsidR="009F1324" w:rsidRPr="00C313BF" w:rsidRDefault="009F1324" w:rsidP="009F1324">
      <w:pPr>
        <w:rPr>
          <w:sz w:val="28"/>
          <w:szCs w:val="28"/>
        </w:rPr>
      </w:pPr>
      <w:r w:rsidRPr="00C313BF">
        <w:rPr>
          <w:sz w:val="28"/>
          <w:szCs w:val="28"/>
        </w:rPr>
        <w:t>Not only can you use your funds </w:t>
      </w:r>
      <w:r w:rsidRPr="00C313BF">
        <w:rPr>
          <w:i/>
          <w:iCs/>
          <w:sz w:val="28"/>
          <w:szCs w:val="28"/>
        </w:rPr>
        <w:t>where</w:t>
      </w:r>
      <w:r w:rsidRPr="00C313BF">
        <w:rPr>
          <w:sz w:val="28"/>
          <w:szCs w:val="28"/>
        </w:rPr>
        <w:t> you want, but you’re also able to leverage them </w:t>
      </w:r>
      <w:r w:rsidRPr="00C313BF">
        <w:rPr>
          <w:i/>
          <w:iCs/>
          <w:sz w:val="28"/>
          <w:szCs w:val="28"/>
        </w:rPr>
        <w:t>how </w:t>
      </w:r>
      <w:r w:rsidRPr="00C313BF">
        <w:rPr>
          <w:sz w:val="28"/>
          <w:szCs w:val="28"/>
        </w:rPr>
        <w:t>you want. In addition to college tuition and fees, the money you save in your plan can be used to cover qualified educational expenses, such as:</w:t>
      </w:r>
    </w:p>
    <w:p w14:paraId="1F4B28A4" w14:textId="77777777" w:rsidR="009F1324" w:rsidRPr="00C313BF" w:rsidRDefault="009F1324" w:rsidP="009F1324">
      <w:pPr>
        <w:numPr>
          <w:ilvl w:val="0"/>
          <w:numId w:val="4"/>
        </w:numPr>
        <w:rPr>
          <w:sz w:val="28"/>
          <w:szCs w:val="28"/>
        </w:rPr>
      </w:pPr>
      <w:r w:rsidRPr="00C313BF">
        <w:rPr>
          <w:sz w:val="28"/>
          <w:szCs w:val="28"/>
        </w:rPr>
        <w:t>The cost of housing and meals</w:t>
      </w:r>
    </w:p>
    <w:p w14:paraId="2162DDBE" w14:textId="77777777" w:rsidR="009F1324" w:rsidRPr="00C313BF" w:rsidRDefault="009F1324" w:rsidP="009F1324">
      <w:pPr>
        <w:numPr>
          <w:ilvl w:val="0"/>
          <w:numId w:val="4"/>
        </w:numPr>
        <w:rPr>
          <w:sz w:val="28"/>
          <w:szCs w:val="28"/>
        </w:rPr>
      </w:pPr>
      <w:r w:rsidRPr="00C313BF">
        <w:rPr>
          <w:sz w:val="28"/>
          <w:szCs w:val="28"/>
        </w:rPr>
        <w:t>Books, equipment, and other supplies (including computers) required for enrollment</w:t>
      </w:r>
    </w:p>
    <w:p w14:paraId="68E18468" w14:textId="77777777" w:rsidR="009F1324" w:rsidRPr="00C313BF" w:rsidRDefault="009F1324" w:rsidP="009F1324">
      <w:pPr>
        <w:numPr>
          <w:ilvl w:val="0"/>
          <w:numId w:val="4"/>
        </w:numPr>
        <w:rPr>
          <w:sz w:val="28"/>
          <w:szCs w:val="28"/>
        </w:rPr>
      </w:pPr>
      <w:r w:rsidRPr="00C313BF">
        <w:rPr>
          <w:sz w:val="28"/>
          <w:szCs w:val="28"/>
        </w:rPr>
        <w:t>Expenses required to participate in a registered apprenticeship program</w:t>
      </w:r>
    </w:p>
    <w:p w14:paraId="1D113228" w14:textId="0FD37A5B" w:rsidR="009F1324" w:rsidRPr="00C313BF" w:rsidRDefault="009F1324" w:rsidP="008F589C">
      <w:pPr>
        <w:rPr>
          <w:sz w:val="28"/>
          <w:szCs w:val="28"/>
        </w:rPr>
      </w:pPr>
      <w:r w:rsidRPr="00C313BF">
        <w:rPr>
          <w:sz w:val="28"/>
          <w:szCs w:val="28"/>
        </w:rPr>
        <w:t xml:space="preserve">The flexibility of Future Scholar begins when you open an account. Enroll in Future Scholar </w:t>
      </w:r>
      <w:r w:rsidR="00A61DD3" w:rsidRPr="00C313BF">
        <w:rPr>
          <w:sz w:val="28"/>
          <w:szCs w:val="28"/>
        </w:rPr>
        <w:t xml:space="preserve">and start saving </w:t>
      </w:r>
      <w:r w:rsidRPr="00C313BF">
        <w:rPr>
          <w:sz w:val="28"/>
          <w:szCs w:val="28"/>
        </w:rPr>
        <w:t xml:space="preserve">by visiting </w:t>
      </w:r>
      <w:hyperlink r:id="rId9" w:history="1">
        <w:r w:rsidRPr="00C313BF">
          <w:rPr>
            <w:rStyle w:val="Hyperlink"/>
            <w:b/>
            <w:bCs/>
            <w:sz w:val="28"/>
            <w:szCs w:val="28"/>
          </w:rPr>
          <w:t>futurescholar.com/enroll</w:t>
        </w:r>
      </w:hyperlink>
      <w:r w:rsidRPr="00C313BF">
        <w:rPr>
          <w:b/>
          <w:bCs/>
          <w:sz w:val="28"/>
          <w:szCs w:val="28"/>
        </w:rPr>
        <w:t>.</w:t>
      </w:r>
    </w:p>
    <w:p w14:paraId="5F2082A0" w14:textId="77777777" w:rsidR="009F1324" w:rsidRPr="00C313BF" w:rsidRDefault="009F1324" w:rsidP="008F589C">
      <w:pPr>
        <w:rPr>
          <w:sz w:val="28"/>
          <w:szCs w:val="28"/>
        </w:rPr>
      </w:pPr>
    </w:p>
    <w:p w14:paraId="2ABE60BC" w14:textId="34E94B4E" w:rsidR="008F589C" w:rsidRPr="00C313BF" w:rsidRDefault="008F589C">
      <w:pPr>
        <w:rPr>
          <w:sz w:val="28"/>
          <w:szCs w:val="28"/>
        </w:rPr>
      </w:pPr>
    </w:p>
    <w:sectPr w:rsidR="008F589C" w:rsidRPr="00C313BF">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FAB293" w14:textId="77777777" w:rsidR="003559DB" w:rsidRDefault="003559DB" w:rsidP="003559DB">
      <w:pPr>
        <w:spacing w:after="0" w:line="240" w:lineRule="auto"/>
      </w:pPr>
      <w:r>
        <w:separator/>
      </w:r>
    </w:p>
  </w:endnote>
  <w:endnote w:type="continuationSeparator" w:id="0">
    <w:p w14:paraId="7160A7F0" w14:textId="77777777" w:rsidR="003559DB" w:rsidRDefault="003559DB" w:rsidP="003559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D19008" w14:textId="4A412BE5" w:rsidR="00920EA4" w:rsidRDefault="00920EA4">
    <w:pPr>
      <w:pStyle w:val="Footer"/>
    </w:pPr>
    <w:r>
      <w:t>Updated June 18, 2025</w:t>
    </w:r>
  </w:p>
  <w:p w14:paraId="591A89A3" w14:textId="77777777" w:rsidR="00920EA4" w:rsidRDefault="00920E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FA8CFE" w14:textId="77777777" w:rsidR="003559DB" w:rsidRDefault="003559DB" w:rsidP="003559DB">
      <w:pPr>
        <w:spacing w:after="0" w:line="240" w:lineRule="auto"/>
      </w:pPr>
      <w:r>
        <w:separator/>
      </w:r>
    </w:p>
  </w:footnote>
  <w:footnote w:type="continuationSeparator" w:id="0">
    <w:p w14:paraId="1FD2BFC1" w14:textId="77777777" w:rsidR="003559DB" w:rsidRDefault="003559DB" w:rsidP="003559D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2C6A88"/>
    <w:multiLevelType w:val="multilevel"/>
    <w:tmpl w:val="65BE89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3463520"/>
    <w:multiLevelType w:val="multilevel"/>
    <w:tmpl w:val="B192D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8C05A42"/>
    <w:multiLevelType w:val="multilevel"/>
    <w:tmpl w:val="B58EA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A157F93"/>
    <w:multiLevelType w:val="multilevel"/>
    <w:tmpl w:val="17DCC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773549506">
    <w:abstractNumId w:val="1"/>
  </w:num>
  <w:num w:numId="2" w16cid:durableId="1261789941">
    <w:abstractNumId w:val="3"/>
  </w:num>
  <w:num w:numId="3" w16cid:durableId="475344703">
    <w:abstractNumId w:val="2"/>
  </w:num>
  <w:num w:numId="4" w16cid:durableId="11754579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589C"/>
    <w:rsid w:val="0000651E"/>
    <w:rsid w:val="00037C3E"/>
    <w:rsid w:val="00131807"/>
    <w:rsid w:val="001B450B"/>
    <w:rsid w:val="002B6121"/>
    <w:rsid w:val="00301C29"/>
    <w:rsid w:val="00330D40"/>
    <w:rsid w:val="003559DB"/>
    <w:rsid w:val="008E52B8"/>
    <w:rsid w:val="008E63C3"/>
    <w:rsid w:val="008F589C"/>
    <w:rsid w:val="00920EA4"/>
    <w:rsid w:val="009F1324"/>
    <w:rsid w:val="00A61DD3"/>
    <w:rsid w:val="00C313BF"/>
    <w:rsid w:val="00E509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22686D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F589C"/>
    <w:rPr>
      <w:color w:val="0563C1" w:themeColor="hyperlink"/>
      <w:u w:val="single"/>
    </w:rPr>
  </w:style>
  <w:style w:type="character" w:styleId="UnresolvedMention">
    <w:name w:val="Unresolved Mention"/>
    <w:basedOn w:val="DefaultParagraphFont"/>
    <w:uiPriority w:val="99"/>
    <w:semiHidden/>
    <w:unhideWhenUsed/>
    <w:rsid w:val="008F589C"/>
    <w:rPr>
      <w:color w:val="605E5C"/>
      <w:shd w:val="clear" w:color="auto" w:fill="E1DFDD"/>
    </w:rPr>
  </w:style>
  <w:style w:type="paragraph" w:styleId="NormalWeb">
    <w:name w:val="Normal (Web)"/>
    <w:basedOn w:val="Normal"/>
    <w:uiPriority w:val="99"/>
    <w:semiHidden/>
    <w:unhideWhenUsed/>
    <w:rsid w:val="008F589C"/>
    <w:rPr>
      <w:rFonts w:ascii="Times New Roman" w:hAnsi="Times New Roman" w:cs="Times New Roman"/>
      <w:sz w:val="24"/>
      <w:szCs w:val="24"/>
    </w:rPr>
  </w:style>
  <w:style w:type="paragraph" w:styleId="Header">
    <w:name w:val="header"/>
    <w:basedOn w:val="Normal"/>
    <w:link w:val="HeaderChar"/>
    <w:uiPriority w:val="99"/>
    <w:unhideWhenUsed/>
    <w:rsid w:val="003559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59DB"/>
  </w:style>
  <w:style w:type="paragraph" w:styleId="Footer">
    <w:name w:val="footer"/>
    <w:basedOn w:val="Normal"/>
    <w:link w:val="FooterChar"/>
    <w:uiPriority w:val="99"/>
    <w:unhideWhenUsed/>
    <w:rsid w:val="003559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59DB"/>
  </w:style>
  <w:style w:type="paragraph" w:styleId="Revision">
    <w:name w:val="Revision"/>
    <w:hidden/>
    <w:uiPriority w:val="99"/>
    <w:semiHidden/>
    <w:rsid w:val="00920EA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9308694">
      <w:bodyDiv w:val="1"/>
      <w:marLeft w:val="0"/>
      <w:marRight w:val="0"/>
      <w:marTop w:val="0"/>
      <w:marBottom w:val="0"/>
      <w:divBdr>
        <w:top w:val="none" w:sz="0" w:space="0" w:color="auto"/>
        <w:left w:val="none" w:sz="0" w:space="0" w:color="auto"/>
        <w:bottom w:val="none" w:sz="0" w:space="0" w:color="auto"/>
        <w:right w:val="none" w:sz="0" w:space="0" w:color="auto"/>
      </w:divBdr>
    </w:div>
    <w:div w:id="365302484">
      <w:bodyDiv w:val="1"/>
      <w:marLeft w:val="0"/>
      <w:marRight w:val="0"/>
      <w:marTop w:val="0"/>
      <w:marBottom w:val="0"/>
      <w:divBdr>
        <w:top w:val="none" w:sz="0" w:space="0" w:color="auto"/>
        <w:left w:val="none" w:sz="0" w:space="0" w:color="auto"/>
        <w:bottom w:val="none" w:sz="0" w:space="0" w:color="auto"/>
        <w:right w:val="none" w:sz="0" w:space="0" w:color="auto"/>
      </w:divBdr>
    </w:div>
    <w:div w:id="933978243">
      <w:bodyDiv w:val="1"/>
      <w:marLeft w:val="0"/>
      <w:marRight w:val="0"/>
      <w:marTop w:val="0"/>
      <w:marBottom w:val="0"/>
      <w:divBdr>
        <w:top w:val="none" w:sz="0" w:space="0" w:color="auto"/>
        <w:left w:val="none" w:sz="0" w:space="0" w:color="auto"/>
        <w:bottom w:val="none" w:sz="0" w:space="0" w:color="auto"/>
        <w:right w:val="none" w:sz="0" w:space="0" w:color="auto"/>
      </w:divBdr>
    </w:div>
    <w:div w:id="1180925678">
      <w:bodyDiv w:val="1"/>
      <w:marLeft w:val="0"/>
      <w:marRight w:val="0"/>
      <w:marTop w:val="0"/>
      <w:marBottom w:val="0"/>
      <w:divBdr>
        <w:top w:val="none" w:sz="0" w:space="0" w:color="auto"/>
        <w:left w:val="none" w:sz="0" w:space="0" w:color="auto"/>
        <w:bottom w:val="none" w:sz="0" w:space="0" w:color="auto"/>
        <w:right w:val="none" w:sz="0" w:space="0" w:color="auto"/>
      </w:divBdr>
    </w:div>
    <w:div w:id="1357074358">
      <w:bodyDiv w:val="1"/>
      <w:marLeft w:val="0"/>
      <w:marRight w:val="0"/>
      <w:marTop w:val="0"/>
      <w:marBottom w:val="0"/>
      <w:divBdr>
        <w:top w:val="none" w:sz="0" w:space="0" w:color="auto"/>
        <w:left w:val="none" w:sz="0" w:space="0" w:color="auto"/>
        <w:bottom w:val="none" w:sz="0" w:space="0" w:color="auto"/>
        <w:right w:val="none" w:sz="0" w:space="0" w:color="auto"/>
      </w:divBdr>
    </w:div>
    <w:div w:id="1668746804">
      <w:bodyDiv w:val="1"/>
      <w:marLeft w:val="0"/>
      <w:marRight w:val="0"/>
      <w:marTop w:val="0"/>
      <w:marBottom w:val="0"/>
      <w:divBdr>
        <w:top w:val="none" w:sz="0" w:space="0" w:color="auto"/>
        <w:left w:val="none" w:sz="0" w:space="0" w:color="auto"/>
        <w:bottom w:val="none" w:sz="0" w:space="0" w:color="auto"/>
        <w:right w:val="none" w:sz="0" w:space="0" w:color="auto"/>
      </w:divBdr>
    </w:div>
    <w:div w:id="1984462196">
      <w:bodyDiv w:val="1"/>
      <w:marLeft w:val="0"/>
      <w:marRight w:val="0"/>
      <w:marTop w:val="0"/>
      <w:marBottom w:val="0"/>
      <w:divBdr>
        <w:top w:val="none" w:sz="0" w:space="0" w:color="auto"/>
        <w:left w:val="none" w:sz="0" w:space="0" w:color="auto"/>
        <w:bottom w:val="none" w:sz="0" w:space="0" w:color="auto"/>
        <w:right w:val="none" w:sz="0" w:space="0" w:color="auto"/>
      </w:divBdr>
    </w:div>
    <w:div w:id="2011786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uturescholar.com/savings-plans/future-scholar-direct-plan/" TargetMode="External"/><Relationship Id="rId3" Type="http://schemas.openxmlformats.org/officeDocument/2006/relationships/settings" Target="settings.xml"/><Relationship Id="rId7" Type="http://schemas.openxmlformats.org/officeDocument/2006/relationships/hyperlink" Target="https://futurescholar.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futurescholar.com/enrol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466</Words>
  <Characters>2658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2025-06-18T13:19:00Z</dcterms:created>
  <dcterms:modified xsi:type="dcterms:W3CDTF">2025-06-20T13:45:00Z</dcterms:modified>
</cp:coreProperties>
</file>